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70" w:rsidRPr="003F688A" w:rsidRDefault="006B5270" w:rsidP="006B5270">
      <w:pPr>
        <w:snapToGrid w:val="0"/>
        <w:spacing w:line="400" w:lineRule="exact"/>
        <w:ind w:firstLineChars="250" w:firstLine="900"/>
        <w:rPr>
          <w:rFonts w:ascii="細明體" w:eastAsia="細明體" w:hAnsi="細明體"/>
          <w:b/>
          <w:spacing w:val="20"/>
          <w:sz w:val="32"/>
          <w:szCs w:val="32"/>
        </w:rPr>
      </w:pPr>
      <w:r w:rsidRPr="003F688A">
        <w:rPr>
          <w:rFonts w:ascii="細明體" w:eastAsia="細明體" w:hAnsi="細明體" w:hint="eastAsia"/>
          <w:spacing w:val="20"/>
          <w:sz w:val="32"/>
          <w:szCs w:val="32"/>
        </w:rPr>
        <w:t>【</w:t>
      </w:r>
      <w:r w:rsidRPr="003F688A">
        <w:rPr>
          <w:rFonts w:ascii="標楷體" w:eastAsia="標楷體" w:hAnsi="標楷體" w:hint="eastAsia"/>
          <w:b/>
          <w:spacing w:val="20"/>
          <w:sz w:val="32"/>
          <w:szCs w:val="32"/>
        </w:rPr>
        <w:t>財團法人高等教育評鑑中心基金會新聞稿</w:t>
      </w:r>
      <w:r w:rsidRPr="003F688A">
        <w:rPr>
          <w:rFonts w:ascii="細明體" w:eastAsia="細明體" w:hAnsi="細明體" w:hint="eastAsia"/>
          <w:b/>
          <w:spacing w:val="20"/>
          <w:sz w:val="32"/>
          <w:szCs w:val="32"/>
        </w:rPr>
        <w:t>】</w:t>
      </w:r>
    </w:p>
    <w:p w:rsidR="006B5270" w:rsidRPr="00050DF7" w:rsidRDefault="006B5270" w:rsidP="006B5270">
      <w:pPr>
        <w:snapToGrid w:val="0"/>
        <w:spacing w:line="400" w:lineRule="exact"/>
        <w:rPr>
          <w:rFonts w:ascii="標楷體" w:eastAsia="標楷體" w:hAnsi="標楷體"/>
          <w:b/>
          <w:spacing w:val="20"/>
          <w:sz w:val="32"/>
          <w:szCs w:val="32"/>
        </w:rPr>
      </w:pPr>
    </w:p>
    <w:p w:rsidR="00A97419" w:rsidRPr="003F2545" w:rsidRDefault="006B5270" w:rsidP="00A97419">
      <w:pPr>
        <w:snapToGrid w:val="0"/>
        <w:spacing w:line="340" w:lineRule="exact"/>
        <w:jc w:val="center"/>
        <w:rPr>
          <w:rFonts w:ascii="Times New Roman" w:eastAsia="標楷體" w:hAnsi="標楷體" w:cs="Times New Roman"/>
          <w:b/>
          <w:spacing w:val="20"/>
          <w:sz w:val="32"/>
          <w:szCs w:val="32"/>
        </w:rPr>
      </w:pPr>
      <w:proofErr w:type="gramStart"/>
      <w:r w:rsidRPr="003F2545">
        <w:rPr>
          <w:rFonts w:ascii="Times New Roman" w:eastAsia="標楷體" w:hAnsi="Times New Roman" w:cs="Times New Roman"/>
          <w:b/>
          <w:spacing w:val="20"/>
          <w:sz w:val="32"/>
          <w:szCs w:val="32"/>
        </w:rPr>
        <w:t>10</w:t>
      </w:r>
      <w:r w:rsidR="00FB2392" w:rsidRPr="003F2545">
        <w:rPr>
          <w:rFonts w:ascii="Times New Roman" w:eastAsia="標楷體" w:hAnsi="Times New Roman" w:cs="Times New Roman" w:hint="eastAsia"/>
          <w:b/>
          <w:spacing w:val="20"/>
          <w:sz w:val="32"/>
          <w:szCs w:val="32"/>
        </w:rPr>
        <w:t>7</w:t>
      </w:r>
      <w:proofErr w:type="gramEnd"/>
      <w:r w:rsidR="00FB2392" w:rsidRPr="003F2545">
        <w:rPr>
          <w:rFonts w:ascii="Times New Roman" w:eastAsia="標楷體" w:hAnsi="標楷體" w:cs="Times New Roman"/>
          <w:b/>
          <w:spacing w:val="20"/>
          <w:sz w:val="32"/>
          <w:szCs w:val="32"/>
        </w:rPr>
        <w:t>年度</w:t>
      </w:r>
      <w:r w:rsidR="00030474" w:rsidRPr="003F2545">
        <w:rPr>
          <w:rFonts w:ascii="Times New Roman" w:eastAsia="標楷體" w:hAnsi="標楷體" w:cs="Times New Roman" w:hint="eastAsia"/>
          <w:b/>
          <w:spacing w:val="20"/>
          <w:sz w:val="32"/>
          <w:szCs w:val="32"/>
        </w:rPr>
        <w:t>下</w:t>
      </w:r>
      <w:r w:rsidRPr="003F2545">
        <w:rPr>
          <w:rFonts w:ascii="Times New Roman" w:eastAsia="標楷體" w:hAnsi="標楷體" w:cs="Times New Roman"/>
          <w:b/>
          <w:spacing w:val="20"/>
          <w:sz w:val="32"/>
          <w:szCs w:val="32"/>
        </w:rPr>
        <w:t>半年第二週期大學校院校務評鑑</w:t>
      </w:r>
      <w:r w:rsidR="00A97419" w:rsidRPr="003F2545">
        <w:rPr>
          <w:rFonts w:ascii="Times New Roman" w:eastAsia="標楷體" w:hAnsi="標楷體" w:cs="Times New Roman" w:hint="eastAsia"/>
          <w:b/>
          <w:spacing w:val="20"/>
          <w:sz w:val="32"/>
          <w:szCs w:val="32"/>
        </w:rPr>
        <w:t>/</w:t>
      </w:r>
    </w:p>
    <w:p w:rsidR="00A97419" w:rsidRPr="003F2545" w:rsidRDefault="00A97419" w:rsidP="00A97419">
      <w:pPr>
        <w:snapToGrid w:val="0"/>
        <w:spacing w:line="340" w:lineRule="exact"/>
        <w:jc w:val="center"/>
        <w:rPr>
          <w:rFonts w:ascii="Times New Roman" w:eastAsia="標楷體" w:hAnsi="標楷體" w:cs="Times New Roman"/>
          <w:b/>
          <w:spacing w:val="20"/>
          <w:sz w:val="32"/>
          <w:szCs w:val="32"/>
        </w:rPr>
      </w:pPr>
      <w:proofErr w:type="gramStart"/>
      <w:r w:rsidRPr="003F2545">
        <w:rPr>
          <w:rFonts w:ascii="Times New Roman" w:eastAsia="標楷體" w:hAnsi="標楷體" w:cs="Times New Roman" w:hint="eastAsia"/>
          <w:b/>
          <w:spacing w:val="20"/>
          <w:sz w:val="32"/>
          <w:szCs w:val="32"/>
        </w:rPr>
        <w:t>10</w:t>
      </w:r>
      <w:r w:rsidR="00FB2392" w:rsidRPr="003F2545">
        <w:rPr>
          <w:rFonts w:ascii="Times New Roman" w:eastAsia="標楷體" w:hAnsi="標楷體" w:cs="Times New Roman" w:hint="eastAsia"/>
          <w:b/>
          <w:spacing w:val="20"/>
          <w:sz w:val="32"/>
          <w:szCs w:val="32"/>
        </w:rPr>
        <w:t>5</w:t>
      </w:r>
      <w:proofErr w:type="gramEnd"/>
      <w:r w:rsidR="00FB2392" w:rsidRPr="003F2545">
        <w:rPr>
          <w:rFonts w:ascii="Times New Roman" w:eastAsia="標楷體" w:hAnsi="標楷體" w:cs="Times New Roman" w:hint="eastAsia"/>
          <w:b/>
          <w:spacing w:val="20"/>
          <w:sz w:val="32"/>
          <w:szCs w:val="32"/>
        </w:rPr>
        <w:t>年度</w:t>
      </w:r>
      <w:r w:rsidR="00030474" w:rsidRPr="003F2545">
        <w:rPr>
          <w:rFonts w:ascii="Times New Roman" w:eastAsia="標楷體" w:hAnsi="標楷體" w:cs="Times New Roman" w:hint="eastAsia"/>
          <w:b/>
          <w:spacing w:val="20"/>
          <w:sz w:val="32"/>
          <w:szCs w:val="32"/>
        </w:rPr>
        <w:t>下</w:t>
      </w:r>
      <w:r w:rsidRPr="003F2545">
        <w:rPr>
          <w:rFonts w:ascii="Times New Roman" w:eastAsia="標楷體" w:hAnsi="標楷體" w:cs="Times New Roman" w:hint="eastAsia"/>
          <w:b/>
          <w:spacing w:val="20"/>
          <w:sz w:val="32"/>
          <w:szCs w:val="32"/>
        </w:rPr>
        <w:t>半年大學校院通識教育暨第二週期</w:t>
      </w:r>
    </w:p>
    <w:p w:rsidR="00A97419" w:rsidRPr="003F2545" w:rsidRDefault="00A97419" w:rsidP="00A97419">
      <w:pPr>
        <w:snapToGrid w:val="0"/>
        <w:spacing w:line="340" w:lineRule="exact"/>
        <w:jc w:val="center"/>
        <w:rPr>
          <w:rFonts w:ascii="Times New Roman" w:eastAsia="標楷體" w:hAnsi="標楷體" w:cs="Times New Roman"/>
          <w:b/>
          <w:spacing w:val="20"/>
          <w:sz w:val="32"/>
          <w:szCs w:val="32"/>
        </w:rPr>
      </w:pPr>
      <w:r w:rsidRPr="003F2545">
        <w:rPr>
          <w:rFonts w:ascii="Times New Roman" w:eastAsia="標楷體" w:hAnsi="標楷體" w:cs="Times New Roman" w:hint="eastAsia"/>
          <w:b/>
          <w:spacing w:val="20"/>
          <w:sz w:val="32"/>
          <w:szCs w:val="32"/>
        </w:rPr>
        <w:t>系所評鑑追蹤評鑑與再評鑑</w:t>
      </w:r>
    </w:p>
    <w:p w:rsidR="006B5270" w:rsidRPr="003F2545" w:rsidRDefault="006B5270" w:rsidP="00A97419">
      <w:pPr>
        <w:snapToGrid w:val="0"/>
        <w:spacing w:line="340" w:lineRule="exact"/>
        <w:jc w:val="center"/>
        <w:rPr>
          <w:rFonts w:ascii="Times New Roman" w:eastAsia="標楷體" w:hAnsi="標楷體" w:cs="Times New Roman"/>
          <w:b/>
          <w:spacing w:val="20"/>
          <w:sz w:val="32"/>
          <w:szCs w:val="32"/>
        </w:rPr>
      </w:pPr>
      <w:r w:rsidRPr="003F2545">
        <w:rPr>
          <w:rFonts w:ascii="Times New Roman" w:eastAsia="標楷體" w:hAnsi="標楷體" w:cs="Times New Roman"/>
          <w:b/>
          <w:spacing w:val="20"/>
          <w:sz w:val="32"/>
          <w:szCs w:val="32"/>
        </w:rPr>
        <w:t>結果公布</w:t>
      </w:r>
    </w:p>
    <w:p w:rsidR="006B5270" w:rsidRPr="006B5270" w:rsidRDefault="006B5270" w:rsidP="006B5270">
      <w:pPr>
        <w:spacing w:line="300" w:lineRule="exact"/>
        <w:jc w:val="right"/>
        <w:rPr>
          <w:rFonts w:ascii="Times New Roman" w:eastAsia="標楷體" w:hAnsi="Times New Roman" w:cs="Times New Roman"/>
          <w:color w:val="FF0000"/>
        </w:rPr>
      </w:pPr>
      <w:r w:rsidRPr="003F2545">
        <w:rPr>
          <w:rFonts w:ascii="標楷體" w:eastAsia="標楷體" w:hAnsi="標楷體" w:hint="eastAsia"/>
        </w:rPr>
        <w:t>發稿日期：</w:t>
      </w:r>
      <w:r w:rsidR="003C7156" w:rsidRPr="003F2545">
        <w:rPr>
          <w:rFonts w:ascii="Times New Roman" w:eastAsia="標楷體" w:hAnsi="Times New Roman" w:cs="Times New Roman"/>
        </w:rPr>
        <w:t>10</w:t>
      </w:r>
      <w:r w:rsidR="00C75248" w:rsidRPr="003F2545">
        <w:rPr>
          <w:rFonts w:ascii="Times New Roman" w:eastAsia="標楷體" w:hAnsi="Times New Roman" w:cs="Times New Roman" w:hint="eastAsia"/>
        </w:rPr>
        <w:t>8</w:t>
      </w:r>
      <w:r w:rsidR="003C7156" w:rsidRPr="003F2545">
        <w:rPr>
          <w:rFonts w:ascii="Times New Roman" w:eastAsia="標楷體" w:hAnsi="Times New Roman" w:cs="Times New Roman"/>
        </w:rPr>
        <w:t>.</w:t>
      </w:r>
      <w:r w:rsidR="00030474" w:rsidRPr="003F2545">
        <w:rPr>
          <w:rFonts w:ascii="Times New Roman" w:eastAsia="標楷體" w:hAnsi="Times New Roman" w:cs="Times New Roman" w:hint="eastAsia"/>
        </w:rPr>
        <w:t>6</w:t>
      </w:r>
      <w:r w:rsidR="003C7156" w:rsidRPr="003F2545">
        <w:rPr>
          <w:rFonts w:ascii="Times New Roman" w:eastAsia="標楷體" w:hAnsi="Times New Roman" w:cs="Times New Roman"/>
        </w:rPr>
        <w:t>.</w:t>
      </w:r>
      <w:r w:rsidR="0047527E">
        <w:rPr>
          <w:rFonts w:ascii="Times New Roman" w:eastAsia="標楷體" w:hAnsi="Times New Roman" w:cs="Times New Roman" w:hint="eastAsia"/>
        </w:rPr>
        <w:t>28</w:t>
      </w:r>
    </w:p>
    <w:p w:rsidR="006B5270" w:rsidRPr="003F1673" w:rsidRDefault="00514E1F" w:rsidP="006B5270">
      <w:pPr>
        <w:spacing w:line="240" w:lineRule="exact"/>
        <w:ind w:firstLineChars="100" w:firstLine="240"/>
        <w:rPr>
          <w:rFonts w:ascii="標楷體" w:eastAsia="標楷體" w:hAnsi="標楷體"/>
          <w:sz w:val="28"/>
          <w:szCs w:val="28"/>
        </w:rPr>
      </w:pPr>
      <w:r w:rsidRPr="00514E1F">
        <w:rPr>
          <w:rFonts w:ascii="標楷體" w:eastAsia="標楷體" w:hAnsi="標楷體"/>
          <w:noProof/>
          <w:szCs w:val="24"/>
        </w:rPr>
        <w:pict>
          <v:line id="_x0000_s1026" style="position:absolute;left:0;text-align:left;z-index:251660288" from="0,6.1pt" to="441.1pt,6.1pt" strokecolor="navy" strokeweight="3pt"/>
        </w:pict>
      </w:r>
    </w:p>
    <w:p w:rsidR="00103659" w:rsidRPr="003F2545" w:rsidRDefault="00D568AA" w:rsidP="00F66F8E">
      <w:pPr>
        <w:spacing w:line="420" w:lineRule="exact"/>
        <w:ind w:firstLineChars="200" w:firstLine="520"/>
        <w:jc w:val="both"/>
        <w:rPr>
          <w:rFonts w:ascii="Times New Roman" w:eastAsia="標楷體" w:hAnsi="標楷體" w:cs="Times New Roman"/>
          <w:sz w:val="26"/>
          <w:szCs w:val="26"/>
          <w:shd w:val="clear" w:color="auto" w:fill="FDFDFD"/>
        </w:rPr>
      </w:pPr>
      <w:proofErr w:type="gramStart"/>
      <w:r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10</w:t>
      </w:r>
      <w:r w:rsidR="00E94AD5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7</w:t>
      </w:r>
      <w:proofErr w:type="gramEnd"/>
      <w:r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年</w:t>
      </w:r>
      <w:r w:rsidR="00A03420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度</w:t>
      </w:r>
      <w:r w:rsidR="00252753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下</w:t>
      </w:r>
      <w:r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半年</w:t>
      </w:r>
      <w:r w:rsidR="008D577B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第二週期</w:t>
      </w:r>
      <w:r w:rsidR="000E705C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大學</w:t>
      </w:r>
      <w:r w:rsidR="00A03420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校院</w:t>
      </w:r>
      <w:r w:rsidR="00D44438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校務</w:t>
      </w:r>
      <w:r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評鑑歷經實地訪評、申復、認可審議委員會等程序後</w:t>
      </w:r>
      <w:r w:rsidRPr="003F2545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，整體認可</w:t>
      </w:r>
      <w:r w:rsidR="000E705C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作業</w:t>
      </w:r>
      <w:r w:rsidRPr="003F2545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暫告一個段落</w:t>
      </w:r>
      <w:r w:rsidR="00D44438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，</w:t>
      </w:r>
      <w:r w:rsidR="00F02495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共計</w:t>
      </w:r>
      <w:r w:rsidR="00252753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27</w:t>
      </w:r>
      <w:r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所</w:t>
      </w:r>
      <w:r w:rsidR="00D44438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一般</w:t>
      </w:r>
      <w:r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大學</w:t>
      </w:r>
      <w:r w:rsidR="000E705C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接受高教評鑑中心認可，</w:t>
      </w:r>
      <w:r w:rsidR="000C5CE7" w:rsidRPr="003F2545">
        <w:rPr>
          <w:rFonts w:ascii="Times New Roman" w:eastAsia="標楷體" w:hAnsi="標楷體" w:cs="Times New Roman" w:hint="eastAsia"/>
          <w:sz w:val="26"/>
          <w:szCs w:val="26"/>
        </w:rPr>
        <w:t>其中</w:t>
      </w:r>
      <w:r w:rsidR="00252753" w:rsidRPr="003F2545">
        <w:rPr>
          <w:rFonts w:ascii="標楷體" w:eastAsia="標楷體" w:hAnsi="標楷體" w:hint="eastAsia"/>
          <w:sz w:val="26"/>
          <w:szCs w:val="26"/>
        </w:rPr>
        <w:t>長庚大學、國立交通大學、國立成功大學、國立政治大學、國立清華大學、國立陽明大學、國立臺灣大學、國立臺灣師範大學等8</w:t>
      </w:r>
      <w:r w:rsidR="000C5CE7" w:rsidRPr="003F2545">
        <w:rPr>
          <w:rFonts w:ascii="標楷體" w:eastAsia="標楷體" w:hAnsi="標楷體" w:hint="eastAsia"/>
          <w:sz w:val="26"/>
          <w:szCs w:val="26"/>
        </w:rPr>
        <w:t>校因曾獲教育部「</w:t>
      </w:r>
      <w:r w:rsidR="000C5CE7" w:rsidRPr="003F2545">
        <w:rPr>
          <w:rFonts w:ascii="標楷體" w:eastAsia="標楷體" w:hAnsi="標楷體"/>
          <w:sz w:val="26"/>
          <w:szCs w:val="26"/>
        </w:rPr>
        <w:t>邁向頂尖大學計畫</w:t>
      </w:r>
      <w:r w:rsidR="000C5CE7" w:rsidRPr="003F2545">
        <w:rPr>
          <w:rFonts w:ascii="標楷體" w:eastAsia="標楷體" w:hAnsi="標楷體" w:hint="eastAsia"/>
          <w:sz w:val="26"/>
          <w:szCs w:val="26"/>
        </w:rPr>
        <w:t>」，為了解其國際化推動情形，故評鑑</w:t>
      </w:r>
      <w:proofErr w:type="gramStart"/>
      <w:r w:rsidR="000C5CE7" w:rsidRPr="003F2545">
        <w:rPr>
          <w:rFonts w:ascii="標楷體" w:eastAsia="標楷體" w:hAnsi="標楷體" w:hint="eastAsia"/>
          <w:sz w:val="26"/>
          <w:szCs w:val="26"/>
        </w:rPr>
        <w:t>委員中聘有</w:t>
      </w:r>
      <w:proofErr w:type="gramEnd"/>
      <w:r w:rsidR="000C5CE7" w:rsidRPr="003F2545">
        <w:rPr>
          <w:rFonts w:ascii="Times New Roman" w:eastAsia="標楷體" w:hAnsi="Times New Roman" w:cs="Times New Roman"/>
          <w:sz w:val="26"/>
          <w:szCs w:val="26"/>
        </w:rPr>
        <w:t>2</w:t>
      </w:r>
      <w:r w:rsidR="000C5CE7" w:rsidRPr="003F2545">
        <w:rPr>
          <w:rFonts w:ascii="Times New Roman" w:eastAsia="標楷體" w:hAnsi="標楷體" w:cs="Times New Roman"/>
          <w:sz w:val="26"/>
          <w:szCs w:val="26"/>
        </w:rPr>
        <w:t>名</w:t>
      </w:r>
      <w:r w:rsidR="000C5CE7" w:rsidRPr="003F2545">
        <w:rPr>
          <w:rFonts w:ascii="Times New Roman" w:eastAsia="標楷體" w:hAnsi="標楷體" w:cs="Times New Roman" w:hint="eastAsia"/>
          <w:sz w:val="26"/>
          <w:szCs w:val="26"/>
        </w:rPr>
        <w:t>來自美國與亞洲地區熟稔華語之國際委員。</w:t>
      </w:r>
      <w:r w:rsidR="005B6580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學校</w:t>
      </w:r>
      <w:r w:rsidR="000C5CE7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在</w:t>
      </w:r>
      <w:r w:rsidR="005B6580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收到訪評結果報告書後，則需參考訪評意見進行自我改善作業。此外，</w:t>
      </w:r>
      <w:proofErr w:type="gramStart"/>
      <w:r w:rsidR="005B6580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10</w:t>
      </w:r>
      <w:r w:rsidR="00E94AD5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5</w:t>
      </w:r>
      <w:proofErr w:type="gramEnd"/>
      <w:r w:rsidR="005B6580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年</w:t>
      </w:r>
      <w:r w:rsidR="00A03420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度</w:t>
      </w:r>
      <w:r w:rsidR="00252753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下</w:t>
      </w:r>
      <w:r w:rsidR="005B6580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半年通識教育暨第二週期系所評鑑追蹤評鑑與再評鑑也</w:t>
      </w:r>
      <w:r w:rsidR="004D78D3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同步</w:t>
      </w:r>
      <w:r w:rsidR="005B6580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實施並完成，</w:t>
      </w:r>
      <w:r w:rsidR="00E94AD5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除</w:t>
      </w:r>
      <w:r w:rsidR="00252753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2</w:t>
      </w:r>
      <w:r w:rsidR="00E94AD5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所軍警校院外，</w:t>
      </w:r>
      <w:r w:rsidR="00AD4212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另</w:t>
      </w:r>
      <w:r w:rsidR="005B6580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有</w:t>
      </w:r>
      <w:r w:rsidR="00252753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4</w:t>
      </w:r>
      <w:r w:rsidR="005B6580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所</w:t>
      </w:r>
      <w:r w:rsidR="00AD4212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一般</w:t>
      </w:r>
      <w:r w:rsidR="005B6580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大學</w:t>
      </w:r>
      <w:r w:rsidR="00AD4212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共</w:t>
      </w:r>
      <w:r w:rsidR="00252753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7</w:t>
      </w:r>
      <w:r w:rsidR="005B6580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個班</w:t>
      </w:r>
      <w:r w:rsidR="00930B14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制</w:t>
      </w:r>
      <w:r w:rsidR="005B6580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接受</w:t>
      </w:r>
      <w:r w:rsidR="008D577B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系所</w:t>
      </w:r>
      <w:r w:rsidR="005B6580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追蹤評鑑；</w:t>
      </w:r>
      <w:r w:rsidR="00D6395B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2</w:t>
      </w:r>
      <w:r w:rsidR="00A03420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所大學接受通識教育追蹤評鑑</w:t>
      </w:r>
      <w:r w:rsidR="00BB5C29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。</w:t>
      </w:r>
      <w:r w:rsidR="005B6580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受評學校</w:t>
      </w:r>
      <w:r w:rsidR="00930B14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或</w:t>
      </w:r>
      <w:r w:rsidR="008D577B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單位</w:t>
      </w:r>
      <w:r w:rsidR="005B6580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於收到</w:t>
      </w:r>
      <w:r w:rsidR="00A03420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評鑑</w:t>
      </w:r>
      <w:r w:rsidR="005B6580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結果後，</w:t>
      </w:r>
      <w:r w:rsidR="003A3F07" w:rsidRPr="003F2545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若對評鑑結果不服，則可提出申訴，</w:t>
      </w:r>
      <w:r w:rsidR="005B6580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高教評鑑中心</w:t>
      </w:r>
      <w:r w:rsidR="00A03420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將</w:t>
      </w:r>
      <w:r w:rsidR="008500BC" w:rsidRPr="003F2545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召開申訴評議委員會辦理後續</w:t>
      </w:r>
      <w:r w:rsidR="00BB5C29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相關</w:t>
      </w:r>
      <w:r w:rsidR="008500BC" w:rsidRPr="003F2545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事宜。</w:t>
      </w:r>
    </w:p>
    <w:p w:rsidR="00895CA5" w:rsidRPr="006B5270" w:rsidRDefault="006B5270" w:rsidP="00F66F8E">
      <w:pPr>
        <w:spacing w:before="100" w:beforeAutospacing="1" w:after="100" w:afterAutospacing="1" w:line="43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  <w:shd w:val="clear" w:color="auto" w:fill="FDFDFD"/>
        </w:rPr>
      </w:pPr>
      <w:r w:rsidRPr="006B527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32"/>
          <w:u w:val="single"/>
          <w:shd w:val="clear" w:color="auto" w:fill="FDFDFD"/>
        </w:rPr>
        <w:t>◎</w:t>
      </w:r>
      <w:r w:rsidR="00BB5C29" w:rsidRPr="006B527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32"/>
          <w:u w:val="single"/>
          <w:shd w:val="clear" w:color="auto" w:fill="FDFDFD"/>
        </w:rPr>
        <w:t>校務評鑑</w:t>
      </w:r>
      <w:r w:rsidR="00DA48C1" w:rsidRPr="006B5270">
        <w:rPr>
          <w:rFonts w:ascii="Times New Roman" w:eastAsia="標楷體" w:hAnsi="標楷體" w:cs="Times New Roman"/>
          <w:b/>
          <w:color w:val="000000" w:themeColor="text1"/>
          <w:sz w:val="32"/>
          <w:szCs w:val="32"/>
          <w:u w:val="single"/>
          <w:shd w:val="clear" w:color="auto" w:fill="FDFDFD"/>
        </w:rPr>
        <w:t>結果</w:t>
      </w:r>
    </w:p>
    <w:p w:rsidR="007D5F69" w:rsidRPr="003F2545" w:rsidRDefault="003E53DD" w:rsidP="003C7156">
      <w:pPr>
        <w:spacing w:line="420" w:lineRule="exact"/>
        <w:ind w:firstLineChars="200" w:firstLine="520"/>
        <w:jc w:val="both"/>
        <w:rPr>
          <w:rFonts w:ascii="Times New Roman" w:eastAsia="標楷體" w:hAnsi="標楷體" w:cs="Times New Roman"/>
          <w:sz w:val="26"/>
          <w:szCs w:val="26"/>
        </w:rPr>
      </w:pPr>
      <w:proofErr w:type="gramStart"/>
      <w:r w:rsidRPr="003F2545">
        <w:rPr>
          <w:rFonts w:ascii="Times New Roman" w:eastAsia="標楷體" w:hAnsi="Times New Roman" w:cs="Times New Roman"/>
          <w:sz w:val="26"/>
          <w:szCs w:val="26"/>
        </w:rPr>
        <w:t>10</w:t>
      </w:r>
      <w:r w:rsidR="00E94AD5" w:rsidRPr="003F2545">
        <w:rPr>
          <w:rFonts w:ascii="Times New Roman" w:eastAsia="標楷體" w:hAnsi="Times New Roman" w:cs="Times New Roman" w:hint="eastAsia"/>
          <w:sz w:val="26"/>
          <w:szCs w:val="26"/>
        </w:rPr>
        <w:t>7</w:t>
      </w:r>
      <w:proofErr w:type="gramEnd"/>
      <w:r w:rsidRPr="003F2545">
        <w:rPr>
          <w:rFonts w:ascii="Times New Roman" w:eastAsia="標楷體" w:hAnsi="標楷體" w:cs="Times New Roman"/>
          <w:sz w:val="26"/>
          <w:szCs w:val="26"/>
        </w:rPr>
        <w:t>年</w:t>
      </w:r>
      <w:r w:rsidR="00A03420" w:rsidRPr="003F2545">
        <w:rPr>
          <w:rFonts w:ascii="Times New Roman" w:eastAsia="標楷體" w:hAnsi="標楷體" w:cs="Times New Roman" w:hint="eastAsia"/>
          <w:sz w:val="26"/>
          <w:szCs w:val="26"/>
        </w:rPr>
        <w:t>度</w:t>
      </w:r>
      <w:r w:rsidR="00252753" w:rsidRPr="003F2545">
        <w:rPr>
          <w:rFonts w:ascii="Times New Roman" w:eastAsia="標楷體" w:hAnsi="標楷體" w:cs="Times New Roman" w:hint="eastAsia"/>
          <w:sz w:val="26"/>
          <w:szCs w:val="26"/>
        </w:rPr>
        <w:t>下</w:t>
      </w:r>
      <w:r w:rsidRPr="003F2545">
        <w:rPr>
          <w:rFonts w:ascii="Times New Roman" w:eastAsia="標楷體" w:hAnsi="標楷體" w:cs="Times New Roman"/>
          <w:sz w:val="26"/>
          <w:szCs w:val="26"/>
        </w:rPr>
        <w:t>半年</w:t>
      </w:r>
      <w:r w:rsidR="00930B14" w:rsidRPr="003F2545">
        <w:rPr>
          <w:rFonts w:ascii="Times New Roman" w:eastAsia="標楷體" w:hAnsi="標楷體" w:cs="Times New Roman" w:hint="eastAsia"/>
          <w:sz w:val="26"/>
          <w:szCs w:val="26"/>
        </w:rPr>
        <w:t>校務</w:t>
      </w:r>
      <w:r w:rsidRPr="003F2545">
        <w:rPr>
          <w:rFonts w:ascii="Times New Roman" w:eastAsia="標楷體" w:hAnsi="標楷體" w:cs="Times New Roman"/>
          <w:sz w:val="26"/>
          <w:szCs w:val="26"/>
        </w:rPr>
        <w:t>評鑑</w:t>
      </w:r>
      <w:r w:rsidR="00CD5F8F" w:rsidRPr="003F2545">
        <w:rPr>
          <w:rFonts w:ascii="Times New Roman" w:eastAsia="標楷體" w:hAnsi="標楷體" w:cs="Times New Roman"/>
          <w:sz w:val="26"/>
          <w:szCs w:val="26"/>
        </w:rPr>
        <w:t>從</w:t>
      </w:r>
      <w:r w:rsidR="00252753" w:rsidRPr="003F2545">
        <w:rPr>
          <w:rFonts w:ascii="Times New Roman" w:eastAsia="標楷體" w:hAnsi="標楷體" w:cs="Times New Roman" w:hint="eastAsia"/>
          <w:sz w:val="26"/>
          <w:szCs w:val="26"/>
        </w:rPr>
        <w:t>10</w:t>
      </w:r>
      <w:r w:rsidR="00CD5F8F" w:rsidRPr="003F2545">
        <w:rPr>
          <w:rFonts w:ascii="Times New Roman" w:eastAsia="標楷體" w:hAnsi="標楷體" w:cs="Times New Roman"/>
          <w:sz w:val="26"/>
          <w:szCs w:val="26"/>
        </w:rPr>
        <w:t>月</w:t>
      </w:r>
      <w:r w:rsidR="00CD5F8F" w:rsidRPr="003F2545">
        <w:rPr>
          <w:rFonts w:ascii="Times New Roman" w:eastAsia="標楷體" w:hAnsi="Times New Roman" w:cs="Times New Roman"/>
          <w:sz w:val="26"/>
          <w:szCs w:val="26"/>
        </w:rPr>
        <w:t>1</w:t>
      </w:r>
      <w:r w:rsidR="00252753" w:rsidRPr="003F2545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CD5F8F" w:rsidRPr="003F2545">
        <w:rPr>
          <w:rFonts w:ascii="Times New Roman" w:eastAsia="標楷體" w:hAnsi="標楷體" w:cs="Times New Roman"/>
          <w:sz w:val="26"/>
          <w:szCs w:val="26"/>
        </w:rPr>
        <w:t>日至</w:t>
      </w:r>
      <w:r w:rsidR="00252753" w:rsidRPr="003F2545">
        <w:rPr>
          <w:rFonts w:ascii="Times New Roman" w:eastAsia="標楷體" w:hAnsi="標楷體" w:cs="Times New Roman" w:hint="eastAsia"/>
          <w:sz w:val="26"/>
          <w:szCs w:val="26"/>
        </w:rPr>
        <w:t>12</w:t>
      </w:r>
      <w:r w:rsidR="00CD5F8F" w:rsidRPr="003F2545">
        <w:rPr>
          <w:rFonts w:ascii="Times New Roman" w:eastAsia="標楷體" w:hAnsi="標楷體" w:cs="Times New Roman"/>
          <w:sz w:val="26"/>
          <w:szCs w:val="26"/>
        </w:rPr>
        <w:t>月</w:t>
      </w:r>
      <w:r w:rsidR="00252753" w:rsidRPr="003F2545">
        <w:rPr>
          <w:rFonts w:ascii="Times New Roman" w:eastAsia="標楷體" w:hAnsi="標楷體" w:cs="Times New Roman" w:hint="eastAsia"/>
          <w:sz w:val="26"/>
          <w:szCs w:val="26"/>
        </w:rPr>
        <w:t>14</w:t>
      </w:r>
      <w:r w:rsidR="00CD5F8F" w:rsidRPr="003F2545">
        <w:rPr>
          <w:rFonts w:ascii="Times New Roman" w:eastAsia="標楷體" w:hAnsi="標楷體" w:cs="Times New Roman"/>
          <w:sz w:val="26"/>
          <w:szCs w:val="26"/>
        </w:rPr>
        <w:t>日</w:t>
      </w:r>
      <w:r w:rsidR="00930B14" w:rsidRPr="003F2545">
        <w:rPr>
          <w:rFonts w:ascii="Times New Roman" w:eastAsia="標楷體" w:hAnsi="標楷體" w:cs="Times New Roman" w:hint="eastAsia"/>
          <w:sz w:val="26"/>
          <w:szCs w:val="26"/>
        </w:rPr>
        <w:t>進行</w:t>
      </w:r>
      <w:r w:rsidR="00CD5F8F" w:rsidRPr="003F2545">
        <w:rPr>
          <w:rFonts w:ascii="Times New Roman" w:eastAsia="標楷體" w:hAnsi="標楷體" w:cs="Times New Roman"/>
          <w:sz w:val="26"/>
          <w:szCs w:val="26"/>
        </w:rPr>
        <w:t>實地訪評，共動員</w:t>
      </w:r>
      <w:r w:rsidR="00E94AD5" w:rsidRPr="003F2545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="00252753" w:rsidRPr="003F2545">
        <w:rPr>
          <w:rFonts w:ascii="Times New Roman" w:eastAsia="標楷體" w:hAnsi="Times New Roman" w:cs="Times New Roman" w:hint="eastAsia"/>
          <w:sz w:val="26"/>
          <w:szCs w:val="26"/>
        </w:rPr>
        <w:t>20</w:t>
      </w:r>
      <w:r w:rsidR="00CD5F8F" w:rsidRPr="003F2545">
        <w:rPr>
          <w:rFonts w:ascii="Times New Roman" w:eastAsia="標楷體" w:hAnsi="標楷體" w:cs="Times New Roman"/>
          <w:sz w:val="26"/>
          <w:szCs w:val="26"/>
        </w:rPr>
        <w:t>名評鑑委員，計</w:t>
      </w:r>
      <w:r w:rsidR="00E94AD5" w:rsidRPr="003F2545">
        <w:rPr>
          <w:rFonts w:ascii="Times New Roman" w:eastAsia="標楷體" w:hAnsi="標楷體" w:cs="Times New Roman" w:hint="eastAsia"/>
          <w:sz w:val="26"/>
          <w:szCs w:val="26"/>
        </w:rPr>
        <w:t>3</w:t>
      </w:r>
      <w:r w:rsidR="00252753" w:rsidRPr="003F2545">
        <w:rPr>
          <w:rFonts w:ascii="Times New Roman" w:eastAsia="標楷體" w:hAnsi="標楷體" w:cs="Times New Roman" w:hint="eastAsia"/>
          <w:sz w:val="26"/>
          <w:szCs w:val="26"/>
        </w:rPr>
        <w:t>44</w:t>
      </w:r>
      <w:r w:rsidR="00CD5F8F" w:rsidRPr="003F2545">
        <w:rPr>
          <w:rFonts w:ascii="Times New Roman" w:eastAsia="標楷體" w:hAnsi="標楷體" w:cs="Times New Roman"/>
          <w:sz w:val="26"/>
          <w:szCs w:val="26"/>
        </w:rPr>
        <w:t>人次</w:t>
      </w:r>
      <w:r w:rsidR="000C5CE7" w:rsidRPr="003F2545">
        <w:rPr>
          <w:rFonts w:ascii="Times New Roman" w:eastAsia="標楷體" w:hAnsi="標楷體" w:cs="Times New Roman" w:hint="eastAsia"/>
          <w:sz w:val="26"/>
          <w:szCs w:val="26"/>
        </w:rPr>
        <w:t>。</w:t>
      </w:r>
      <w:r w:rsidR="00AD4212" w:rsidRPr="003F2545">
        <w:rPr>
          <w:rFonts w:ascii="Times New Roman" w:eastAsia="標楷體" w:hAnsi="標楷體" w:cs="Times New Roman"/>
          <w:sz w:val="26"/>
          <w:szCs w:val="26"/>
        </w:rPr>
        <w:t>學校申復意見的調查及回應</w:t>
      </w:r>
      <w:r w:rsidR="00CD5F8F" w:rsidRPr="003F2545">
        <w:rPr>
          <w:rFonts w:ascii="Times New Roman" w:eastAsia="標楷體" w:hAnsi="標楷體" w:cs="Times New Roman"/>
          <w:sz w:val="26"/>
          <w:szCs w:val="26"/>
        </w:rPr>
        <w:t>於</w:t>
      </w:r>
      <w:r w:rsidR="00930B14" w:rsidRPr="003F2545">
        <w:rPr>
          <w:rFonts w:ascii="Times New Roman" w:eastAsia="標楷體" w:hAnsi="標楷體" w:cs="Times New Roman" w:hint="eastAsia"/>
          <w:sz w:val="26"/>
          <w:szCs w:val="26"/>
        </w:rPr>
        <w:t>107</w:t>
      </w:r>
      <w:r w:rsidR="00930B14" w:rsidRPr="003F2545">
        <w:rPr>
          <w:rFonts w:ascii="Times New Roman" w:eastAsia="標楷體" w:hAnsi="標楷體" w:cs="Times New Roman" w:hint="eastAsia"/>
          <w:sz w:val="26"/>
          <w:szCs w:val="26"/>
        </w:rPr>
        <w:t>年</w:t>
      </w:r>
      <w:r w:rsidR="00252753" w:rsidRPr="003F2545">
        <w:rPr>
          <w:rFonts w:ascii="Times New Roman" w:eastAsia="標楷體" w:hAnsi="標楷體" w:cs="Times New Roman" w:hint="eastAsia"/>
          <w:sz w:val="26"/>
          <w:szCs w:val="26"/>
        </w:rPr>
        <w:t>3</w:t>
      </w:r>
      <w:r w:rsidR="00CD5F8F" w:rsidRPr="003F2545">
        <w:rPr>
          <w:rFonts w:ascii="Times New Roman" w:eastAsia="標楷體" w:hAnsi="標楷體" w:cs="Times New Roman"/>
          <w:sz w:val="26"/>
          <w:szCs w:val="26"/>
        </w:rPr>
        <w:t>月底至</w:t>
      </w:r>
      <w:r w:rsidR="00252753" w:rsidRPr="003F2545">
        <w:rPr>
          <w:rFonts w:ascii="Times New Roman" w:eastAsia="標楷體" w:hAnsi="標楷體" w:cs="Times New Roman" w:hint="eastAsia"/>
          <w:sz w:val="26"/>
          <w:szCs w:val="26"/>
        </w:rPr>
        <w:t>4</w:t>
      </w:r>
      <w:r w:rsidR="00CD5F8F" w:rsidRPr="003F2545">
        <w:rPr>
          <w:rFonts w:ascii="Times New Roman" w:eastAsia="標楷體" w:hAnsi="標楷體" w:cs="Times New Roman"/>
          <w:sz w:val="26"/>
          <w:szCs w:val="26"/>
        </w:rPr>
        <w:t>月中完成</w:t>
      </w:r>
      <w:r w:rsidR="00AD4212" w:rsidRPr="003F2545">
        <w:rPr>
          <w:rFonts w:ascii="Times New Roman" w:eastAsia="標楷體" w:hAnsi="標楷體" w:cs="Times New Roman" w:hint="eastAsia"/>
          <w:sz w:val="26"/>
          <w:szCs w:val="26"/>
        </w:rPr>
        <w:t>，</w:t>
      </w:r>
      <w:r w:rsidR="00923E37" w:rsidRPr="003F2545">
        <w:rPr>
          <w:rFonts w:ascii="Times New Roman" w:eastAsia="標楷體" w:hAnsi="標楷體" w:cs="Times New Roman" w:hint="eastAsia"/>
          <w:sz w:val="26"/>
          <w:szCs w:val="26"/>
        </w:rPr>
        <w:t>計</w:t>
      </w:r>
      <w:r w:rsidR="00CD5F8F" w:rsidRPr="003F2545">
        <w:rPr>
          <w:rFonts w:ascii="Times New Roman" w:eastAsia="標楷體" w:hAnsi="標楷體" w:cs="Times New Roman"/>
          <w:sz w:val="26"/>
          <w:szCs w:val="26"/>
        </w:rPr>
        <w:t>有</w:t>
      </w:r>
      <w:r w:rsidR="00E94AD5" w:rsidRPr="003F2545">
        <w:rPr>
          <w:rFonts w:ascii="Times New Roman" w:eastAsia="標楷體" w:hAnsi="Times New Roman" w:cs="Times New Roman" w:hint="eastAsia"/>
          <w:sz w:val="26"/>
          <w:szCs w:val="26"/>
        </w:rPr>
        <w:t>19</w:t>
      </w:r>
      <w:r w:rsidR="00923E37" w:rsidRPr="003F2545">
        <w:rPr>
          <w:rFonts w:ascii="Times New Roman" w:eastAsia="標楷體" w:hAnsi="Times New Roman" w:cs="Times New Roman" w:hint="eastAsia"/>
          <w:sz w:val="26"/>
          <w:szCs w:val="26"/>
        </w:rPr>
        <w:t>校</w:t>
      </w:r>
      <w:r w:rsidR="00CD5F8F" w:rsidRPr="003F2545">
        <w:rPr>
          <w:rFonts w:ascii="Times New Roman" w:eastAsia="標楷體" w:hAnsi="標楷體" w:cs="Times New Roman"/>
          <w:sz w:val="26"/>
          <w:szCs w:val="26"/>
        </w:rPr>
        <w:t>提出</w:t>
      </w:r>
      <w:r w:rsidR="00697027" w:rsidRPr="003F2545">
        <w:rPr>
          <w:rFonts w:ascii="Times New Roman" w:eastAsia="標楷體" w:hAnsi="標楷體" w:cs="Times New Roman" w:hint="eastAsia"/>
          <w:sz w:val="26"/>
          <w:szCs w:val="26"/>
        </w:rPr>
        <w:t>共</w:t>
      </w:r>
      <w:r w:rsidR="00252753" w:rsidRPr="003F2545">
        <w:rPr>
          <w:rFonts w:ascii="Times New Roman" w:eastAsia="標楷體" w:hAnsi="Times New Roman" w:cs="Times New Roman" w:hint="eastAsia"/>
          <w:sz w:val="26"/>
          <w:szCs w:val="26"/>
        </w:rPr>
        <w:t>112</w:t>
      </w:r>
      <w:r w:rsidR="00CD5F8F" w:rsidRPr="003F2545">
        <w:rPr>
          <w:rFonts w:ascii="Times New Roman" w:eastAsia="標楷體" w:hAnsi="標楷體" w:cs="Times New Roman"/>
          <w:sz w:val="26"/>
          <w:szCs w:val="26"/>
        </w:rPr>
        <w:t>項申復</w:t>
      </w:r>
      <w:r w:rsidR="00A03420" w:rsidRPr="003F2545">
        <w:rPr>
          <w:rFonts w:ascii="Times New Roman" w:eastAsia="標楷體" w:hAnsi="標楷體" w:cs="Times New Roman" w:hint="eastAsia"/>
          <w:sz w:val="26"/>
          <w:szCs w:val="26"/>
        </w:rPr>
        <w:t>意見</w:t>
      </w:r>
      <w:r w:rsidR="00CD5F8F" w:rsidRPr="003F2545">
        <w:rPr>
          <w:rFonts w:ascii="Times New Roman" w:eastAsia="標楷體" w:hAnsi="標楷體" w:cs="Times New Roman"/>
          <w:sz w:val="26"/>
          <w:szCs w:val="26"/>
        </w:rPr>
        <w:t>，其中「違反程序」</w:t>
      </w:r>
      <w:r w:rsidR="00CD5F8F" w:rsidRPr="003F2545">
        <w:rPr>
          <w:rFonts w:ascii="Times New Roman" w:eastAsia="標楷體" w:hAnsi="Times New Roman" w:cs="Times New Roman"/>
          <w:sz w:val="26"/>
          <w:szCs w:val="26"/>
        </w:rPr>
        <w:t>0</w:t>
      </w:r>
      <w:r w:rsidR="00B60E3D" w:rsidRPr="003F2545">
        <w:rPr>
          <w:rFonts w:ascii="Times New Roman" w:eastAsia="標楷體" w:hAnsi="標楷體" w:cs="Times New Roman"/>
          <w:sz w:val="26"/>
          <w:szCs w:val="26"/>
        </w:rPr>
        <w:t>項；</w:t>
      </w:r>
      <w:r w:rsidR="00CD5F8F" w:rsidRPr="003F2545">
        <w:rPr>
          <w:rFonts w:ascii="Times New Roman" w:eastAsia="標楷體" w:hAnsi="標楷體" w:cs="Times New Roman"/>
          <w:sz w:val="26"/>
          <w:szCs w:val="26"/>
        </w:rPr>
        <w:t>「不符事實」</w:t>
      </w:r>
      <w:r w:rsidR="00252753" w:rsidRPr="003F2545">
        <w:rPr>
          <w:rFonts w:ascii="Times New Roman" w:eastAsia="標楷體" w:hAnsi="Times New Roman" w:cs="Times New Roman" w:hint="eastAsia"/>
          <w:sz w:val="26"/>
          <w:szCs w:val="26"/>
        </w:rPr>
        <w:t>32</w:t>
      </w:r>
      <w:r w:rsidR="00A03420" w:rsidRPr="003F2545">
        <w:rPr>
          <w:rFonts w:ascii="Times New Roman" w:eastAsia="標楷體" w:hAnsi="標楷體" w:cs="Times New Roman"/>
          <w:sz w:val="26"/>
          <w:szCs w:val="26"/>
        </w:rPr>
        <w:t>項；</w:t>
      </w:r>
      <w:r w:rsidR="00CD5F8F" w:rsidRPr="003F2545">
        <w:rPr>
          <w:rFonts w:ascii="Times New Roman" w:eastAsia="標楷體" w:hAnsi="標楷體" w:cs="Times New Roman"/>
          <w:sz w:val="26"/>
          <w:szCs w:val="26"/>
        </w:rPr>
        <w:t>「要求修正事項」最多，共</w:t>
      </w:r>
      <w:r w:rsidR="00252753" w:rsidRPr="003F2545">
        <w:rPr>
          <w:rFonts w:ascii="Times New Roman" w:eastAsia="標楷體" w:hAnsi="標楷體" w:cs="Times New Roman" w:hint="eastAsia"/>
          <w:sz w:val="26"/>
          <w:szCs w:val="26"/>
        </w:rPr>
        <w:t>80</w:t>
      </w:r>
      <w:r w:rsidR="00C43C6D" w:rsidRPr="003F2545">
        <w:rPr>
          <w:rFonts w:ascii="Times New Roman" w:eastAsia="標楷體" w:hAnsi="標楷體" w:cs="Times New Roman"/>
          <w:sz w:val="26"/>
          <w:szCs w:val="26"/>
        </w:rPr>
        <w:t>項</w:t>
      </w:r>
      <w:r w:rsidR="00423003" w:rsidRPr="003F2545">
        <w:rPr>
          <w:rFonts w:ascii="Times New Roman" w:eastAsia="標楷體" w:hAnsi="標楷體" w:cs="Times New Roman" w:hint="eastAsia"/>
          <w:sz w:val="26"/>
          <w:szCs w:val="26"/>
        </w:rPr>
        <w:t>。經過</w:t>
      </w:r>
      <w:r w:rsidR="00A03420" w:rsidRPr="003F2545">
        <w:rPr>
          <w:rFonts w:ascii="Times New Roman" w:eastAsia="標楷體" w:hAnsi="標楷體" w:cs="Times New Roman" w:hint="eastAsia"/>
          <w:sz w:val="26"/>
          <w:szCs w:val="26"/>
        </w:rPr>
        <w:t>評鑑</w:t>
      </w:r>
      <w:r w:rsidR="00B60E3D" w:rsidRPr="003F2545">
        <w:rPr>
          <w:rFonts w:ascii="Times New Roman" w:eastAsia="標楷體" w:hAnsi="標楷體" w:cs="Times New Roman" w:hint="eastAsia"/>
          <w:sz w:val="26"/>
          <w:szCs w:val="26"/>
        </w:rPr>
        <w:t>委員</w:t>
      </w:r>
      <w:r w:rsidR="00423003" w:rsidRPr="003F2545">
        <w:rPr>
          <w:rFonts w:ascii="Times New Roman" w:eastAsia="標楷體" w:hAnsi="標楷體" w:cs="Times New Roman" w:hint="eastAsia"/>
          <w:sz w:val="26"/>
          <w:szCs w:val="26"/>
        </w:rPr>
        <w:t>討論後共有</w:t>
      </w:r>
      <w:r w:rsidR="00E94AD5" w:rsidRPr="003F2545">
        <w:rPr>
          <w:rFonts w:ascii="Times New Roman" w:eastAsia="標楷體" w:hAnsi="標楷體" w:cs="Times New Roman" w:hint="eastAsia"/>
          <w:sz w:val="26"/>
          <w:szCs w:val="26"/>
        </w:rPr>
        <w:t>1</w:t>
      </w:r>
      <w:r w:rsidR="00252753" w:rsidRPr="003F2545">
        <w:rPr>
          <w:rFonts w:ascii="Times New Roman" w:eastAsia="標楷體" w:hAnsi="標楷體" w:cs="Times New Roman" w:hint="eastAsia"/>
          <w:sz w:val="26"/>
          <w:szCs w:val="26"/>
        </w:rPr>
        <w:t>2</w:t>
      </w:r>
      <w:r w:rsidR="00423003" w:rsidRPr="003F2545">
        <w:rPr>
          <w:rFonts w:ascii="Times New Roman" w:eastAsia="標楷體" w:hAnsi="標楷體" w:cs="Times New Roman" w:hint="eastAsia"/>
          <w:sz w:val="26"/>
          <w:szCs w:val="26"/>
        </w:rPr>
        <w:t>項接受申復意見，並修正評鑑報告內容，約</w:t>
      </w:r>
      <w:r w:rsidR="00CD4B49" w:rsidRPr="003F2545">
        <w:rPr>
          <w:rFonts w:ascii="Times New Roman" w:eastAsia="標楷體" w:hAnsi="標楷體" w:cs="Times New Roman" w:hint="eastAsia"/>
          <w:sz w:val="26"/>
          <w:szCs w:val="26"/>
        </w:rPr>
        <w:t>占</w:t>
      </w:r>
      <w:r w:rsidR="00252753" w:rsidRPr="003F2545">
        <w:rPr>
          <w:rFonts w:ascii="Times New Roman" w:eastAsia="標楷體" w:hAnsi="標楷體" w:cs="Times New Roman" w:hint="eastAsia"/>
          <w:sz w:val="26"/>
          <w:szCs w:val="26"/>
        </w:rPr>
        <w:t>1</w:t>
      </w:r>
      <w:r w:rsidR="00CA5170" w:rsidRPr="003F2545">
        <w:rPr>
          <w:rFonts w:ascii="Times New Roman" w:eastAsia="標楷體" w:hAnsi="標楷體" w:cs="Times New Roman" w:hint="eastAsia"/>
          <w:sz w:val="26"/>
          <w:szCs w:val="26"/>
        </w:rPr>
        <w:t>1</w:t>
      </w:r>
      <w:r w:rsidR="00423003" w:rsidRPr="003F2545">
        <w:rPr>
          <w:rFonts w:ascii="Times New Roman" w:eastAsia="標楷體" w:hAnsi="標楷體" w:cs="Times New Roman" w:hint="eastAsia"/>
          <w:sz w:val="26"/>
          <w:szCs w:val="26"/>
        </w:rPr>
        <w:t>%</w:t>
      </w:r>
      <w:r w:rsidR="00423003" w:rsidRPr="003F2545">
        <w:rPr>
          <w:rFonts w:ascii="Times New Roman" w:eastAsia="標楷體" w:hAnsi="標楷體" w:cs="Times New Roman" w:hint="eastAsia"/>
          <w:sz w:val="26"/>
          <w:szCs w:val="26"/>
        </w:rPr>
        <w:t>；而維持</w:t>
      </w:r>
      <w:r w:rsidR="00C43C6D" w:rsidRPr="003F2545">
        <w:rPr>
          <w:rFonts w:ascii="Times New Roman" w:eastAsia="標楷體" w:hAnsi="標楷體" w:cs="Times New Roman"/>
          <w:sz w:val="26"/>
          <w:szCs w:val="26"/>
        </w:rPr>
        <w:t>部分訪評意見</w:t>
      </w:r>
      <w:r w:rsidR="00FC3A6D" w:rsidRPr="003F2545">
        <w:rPr>
          <w:rFonts w:ascii="Times New Roman" w:eastAsia="標楷體" w:hAnsi="標楷體" w:cs="Times New Roman"/>
          <w:sz w:val="26"/>
          <w:szCs w:val="26"/>
        </w:rPr>
        <w:t>的</w:t>
      </w:r>
      <w:r w:rsidR="00C43C6D" w:rsidRPr="003F2545">
        <w:rPr>
          <w:rFonts w:ascii="Times New Roman" w:eastAsia="標楷體" w:hAnsi="標楷體" w:cs="Times New Roman"/>
          <w:sz w:val="26"/>
          <w:szCs w:val="26"/>
        </w:rPr>
        <w:t>共</w:t>
      </w:r>
      <w:r w:rsidR="00FC3A6D" w:rsidRPr="003F2545">
        <w:rPr>
          <w:rFonts w:ascii="Times New Roman" w:eastAsia="標楷體" w:hAnsi="標楷體" w:cs="Times New Roman"/>
          <w:sz w:val="26"/>
          <w:szCs w:val="26"/>
        </w:rPr>
        <w:t>有</w:t>
      </w:r>
      <w:r w:rsidR="00252753" w:rsidRPr="003F2545">
        <w:rPr>
          <w:rFonts w:ascii="Times New Roman" w:eastAsia="標楷體" w:hAnsi="Times New Roman" w:cs="Times New Roman" w:hint="eastAsia"/>
          <w:sz w:val="26"/>
          <w:szCs w:val="26"/>
        </w:rPr>
        <w:t>30</w:t>
      </w:r>
      <w:r w:rsidR="00C43C6D" w:rsidRPr="003F2545">
        <w:rPr>
          <w:rFonts w:ascii="Times New Roman" w:eastAsia="標楷體" w:hAnsi="標楷體" w:cs="Times New Roman"/>
          <w:sz w:val="26"/>
          <w:szCs w:val="26"/>
        </w:rPr>
        <w:t>項，約</w:t>
      </w:r>
      <w:r w:rsidR="00CD4B49" w:rsidRPr="003F2545">
        <w:rPr>
          <w:rFonts w:ascii="Times New Roman" w:eastAsia="標楷體" w:hAnsi="標楷體" w:cs="Times New Roman" w:hint="eastAsia"/>
          <w:sz w:val="26"/>
          <w:szCs w:val="26"/>
        </w:rPr>
        <w:t>占</w:t>
      </w:r>
      <w:r w:rsidR="00252753" w:rsidRPr="003F2545">
        <w:rPr>
          <w:rFonts w:ascii="Times New Roman" w:eastAsia="標楷體" w:hAnsi="標楷體" w:cs="Times New Roman" w:hint="eastAsia"/>
          <w:sz w:val="26"/>
          <w:szCs w:val="26"/>
        </w:rPr>
        <w:t>2</w:t>
      </w:r>
      <w:r w:rsidR="00CA5170" w:rsidRPr="003F2545">
        <w:rPr>
          <w:rFonts w:ascii="Times New Roman" w:eastAsia="標楷體" w:hAnsi="標楷體" w:cs="Times New Roman" w:hint="eastAsia"/>
          <w:sz w:val="26"/>
          <w:szCs w:val="26"/>
        </w:rPr>
        <w:t>7</w:t>
      </w:r>
      <w:r w:rsidR="00C43C6D" w:rsidRPr="003F2545">
        <w:rPr>
          <w:rFonts w:ascii="Times New Roman" w:eastAsia="標楷體" w:hAnsi="Times New Roman" w:cs="Times New Roman"/>
          <w:sz w:val="26"/>
          <w:szCs w:val="26"/>
        </w:rPr>
        <w:t>%</w:t>
      </w:r>
      <w:r w:rsidR="00423003" w:rsidRPr="003F2545">
        <w:rPr>
          <w:rFonts w:ascii="Times New Roman" w:eastAsia="標楷體" w:hAnsi="標楷體" w:cs="Times New Roman"/>
          <w:sz w:val="26"/>
          <w:szCs w:val="26"/>
        </w:rPr>
        <w:t>；</w:t>
      </w:r>
      <w:r w:rsidR="00C43C6D" w:rsidRPr="003F2545">
        <w:rPr>
          <w:rFonts w:ascii="Times New Roman" w:eastAsia="標楷體" w:hAnsi="標楷體" w:cs="Times New Roman"/>
          <w:sz w:val="26"/>
          <w:szCs w:val="26"/>
        </w:rPr>
        <w:t>其餘則</w:t>
      </w:r>
      <w:proofErr w:type="gramStart"/>
      <w:r w:rsidR="00C43C6D" w:rsidRPr="003F2545">
        <w:rPr>
          <w:rFonts w:ascii="Times New Roman" w:eastAsia="標楷體" w:hAnsi="標楷體" w:cs="Times New Roman"/>
          <w:sz w:val="26"/>
          <w:szCs w:val="26"/>
        </w:rPr>
        <w:t>維持原</w:t>
      </w:r>
      <w:r w:rsidR="00A03420" w:rsidRPr="003F2545">
        <w:rPr>
          <w:rFonts w:ascii="Times New Roman" w:eastAsia="標楷體" w:hAnsi="標楷體" w:cs="Times New Roman" w:hint="eastAsia"/>
          <w:sz w:val="26"/>
          <w:szCs w:val="26"/>
        </w:rPr>
        <w:t>訪評</w:t>
      </w:r>
      <w:proofErr w:type="gramEnd"/>
      <w:r w:rsidR="00C43C6D" w:rsidRPr="003F2545">
        <w:rPr>
          <w:rFonts w:ascii="Times New Roman" w:eastAsia="標楷體" w:hAnsi="標楷體" w:cs="Times New Roman"/>
          <w:sz w:val="26"/>
          <w:szCs w:val="26"/>
        </w:rPr>
        <w:t>意見</w:t>
      </w:r>
      <w:r w:rsidR="00423003" w:rsidRPr="003F2545">
        <w:rPr>
          <w:rFonts w:ascii="Times New Roman" w:eastAsia="標楷體" w:hAnsi="標楷體" w:cs="Times New Roman" w:hint="eastAsia"/>
          <w:sz w:val="26"/>
          <w:szCs w:val="26"/>
        </w:rPr>
        <w:t>，</w:t>
      </w:r>
      <w:r w:rsidR="00CD4B49" w:rsidRPr="003F2545">
        <w:rPr>
          <w:rFonts w:ascii="Times New Roman" w:eastAsia="標楷體" w:hAnsi="標楷體" w:cs="Times New Roman" w:hint="eastAsia"/>
          <w:sz w:val="26"/>
          <w:szCs w:val="26"/>
        </w:rPr>
        <w:t>占</w:t>
      </w:r>
      <w:r w:rsidR="00CA5170" w:rsidRPr="003F2545">
        <w:rPr>
          <w:rFonts w:ascii="Times New Roman" w:eastAsia="標楷體" w:hAnsi="標楷體" w:cs="Times New Roman" w:hint="eastAsia"/>
          <w:sz w:val="26"/>
          <w:szCs w:val="26"/>
        </w:rPr>
        <w:t>62</w:t>
      </w:r>
      <w:r w:rsidR="00423003" w:rsidRPr="003F2545">
        <w:rPr>
          <w:rFonts w:ascii="Times New Roman" w:eastAsia="標楷體" w:hAnsi="標楷體" w:cs="Times New Roman" w:hint="eastAsia"/>
          <w:sz w:val="26"/>
          <w:szCs w:val="26"/>
        </w:rPr>
        <w:t>%</w:t>
      </w:r>
      <w:r w:rsidR="00C43C6D" w:rsidRPr="003F2545">
        <w:rPr>
          <w:rFonts w:ascii="Times New Roman" w:eastAsia="標楷體" w:hAnsi="標楷體" w:cs="Times New Roman"/>
          <w:sz w:val="26"/>
          <w:szCs w:val="26"/>
        </w:rPr>
        <w:t>。</w:t>
      </w:r>
    </w:p>
    <w:p w:rsidR="00960A0B" w:rsidRDefault="00AD4212" w:rsidP="004E40DF">
      <w:pPr>
        <w:spacing w:line="420" w:lineRule="exact"/>
        <w:ind w:firstLineChars="200" w:firstLine="520"/>
        <w:jc w:val="both"/>
        <w:rPr>
          <w:rFonts w:ascii="Times New Roman" w:eastAsia="標楷體" w:hAnsi="標楷體" w:cs="Times New Roman"/>
          <w:sz w:val="26"/>
          <w:szCs w:val="26"/>
          <w:shd w:val="pct15" w:color="auto" w:fill="FFFFFF"/>
        </w:rPr>
      </w:pPr>
      <w:r w:rsidRPr="003F2545">
        <w:rPr>
          <w:rFonts w:ascii="Times New Roman" w:eastAsia="標楷體" w:hAnsi="Times New Roman" w:cs="Times New Roman" w:hint="eastAsia"/>
          <w:sz w:val="26"/>
          <w:szCs w:val="26"/>
        </w:rPr>
        <w:t>評鑑結果共有</w:t>
      </w:r>
      <w:r w:rsidR="00CA5170" w:rsidRPr="003F2545">
        <w:rPr>
          <w:rFonts w:ascii="Times New Roman" w:eastAsia="標楷體" w:hAnsi="Times New Roman" w:cs="Times New Roman" w:hint="eastAsia"/>
          <w:sz w:val="26"/>
          <w:szCs w:val="26"/>
        </w:rPr>
        <w:t>25</w:t>
      </w:r>
      <w:r w:rsidR="007D175C" w:rsidRPr="003F2545">
        <w:rPr>
          <w:rFonts w:ascii="Times New Roman" w:eastAsia="標楷體" w:hAnsi="Times New Roman" w:cs="Times New Roman" w:hint="eastAsia"/>
          <w:sz w:val="26"/>
          <w:szCs w:val="26"/>
        </w:rPr>
        <w:t>所</w:t>
      </w:r>
      <w:r w:rsidR="006B5270" w:rsidRPr="003F2545">
        <w:rPr>
          <w:rFonts w:ascii="Times New Roman" w:eastAsia="標楷體" w:hAnsi="Times New Roman" w:cs="Times New Roman" w:hint="eastAsia"/>
          <w:sz w:val="26"/>
          <w:szCs w:val="26"/>
        </w:rPr>
        <w:t>一般</w:t>
      </w:r>
      <w:r w:rsidR="007D175C" w:rsidRPr="003F2545">
        <w:rPr>
          <w:rFonts w:ascii="Times New Roman" w:eastAsia="標楷體" w:hAnsi="Times New Roman" w:cs="Times New Roman" w:hint="eastAsia"/>
          <w:sz w:val="26"/>
          <w:szCs w:val="26"/>
        </w:rPr>
        <w:t>大學</w:t>
      </w:r>
      <w:r w:rsidR="00E14382" w:rsidRPr="003F2545">
        <w:rPr>
          <w:rFonts w:ascii="Times New Roman" w:eastAsia="標楷體" w:hAnsi="標楷體" w:cs="Times New Roman" w:hint="eastAsia"/>
          <w:sz w:val="26"/>
          <w:szCs w:val="26"/>
        </w:rPr>
        <w:t>在四個</w:t>
      </w:r>
      <w:r w:rsidR="00E14382" w:rsidRPr="003F2545">
        <w:rPr>
          <w:rFonts w:ascii="Times New Roman" w:eastAsia="標楷體" w:hAnsi="標楷體" w:cs="Times New Roman"/>
          <w:sz w:val="26"/>
          <w:szCs w:val="26"/>
        </w:rPr>
        <w:t>評鑑項目</w:t>
      </w:r>
      <w:r w:rsidR="00E14382" w:rsidRPr="003F2545">
        <w:rPr>
          <w:rFonts w:ascii="Times New Roman" w:eastAsia="標楷體" w:hAnsi="標楷體" w:cs="Times New Roman" w:hint="eastAsia"/>
          <w:sz w:val="26"/>
          <w:szCs w:val="26"/>
        </w:rPr>
        <w:t>皆</w:t>
      </w:r>
      <w:r w:rsidR="00B61C33" w:rsidRPr="003F2545">
        <w:rPr>
          <w:rFonts w:ascii="Times New Roman" w:eastAsia="標楷體" w:hAnsi="標楷體" w:cs="Times New Roman" w:hint="eastAsia"/>
          <w:sz w:val="26"/>
          <w:szCs w:val="26"/>
        </w:rPr>
        <w:t>為</w:t>
      </w:r>
      <w:r w:rsidR="00E14382" w:rsidRPr="003F2545">
        <w:rPr>
          <w:rFonts w:ascii="Times New Roman" w:eastAsia="標楷體" w:hAnsi="標楷體" w:cs="Times New Roman" w:hint="eastAsia"/>
          <w:sz w:val="26"/>
          <w:szCs w:val="26"/>
        </w:rPr>
        <w:t>「通過」，</w:t>
      </w:r>
      <w:r w:rsidR="00923E37" w:rsidRPr="003F2545">
        <w:rPr>
          <w:rFonts w:ascii="Times New Roman" w:eastAsia="標楷體" w:hAnsi="標楷體" w:cs="Times New Roman" w:hint="eastAsia"/>
          <w:sz w:val="26"/>
          <w:szCs w:val="26"/>
        </w:rPr>
        <w:t>包括</w:t>
      </w:r>
      <w:r w:rsidR="00CA5170" w:rsidRPr="003F2545">
        <w:rPr>
          <w:rFonts w:ascii="Times New Roman" w:eastAsia="標楷體" w:hAnsi="標楷體" w:cs="Times New Roman"/>
          <w:sz w:val="26"/>
          <w:szCs w:val="26"/>
        </w:rPr>
        <w:t>一貫道崇德學院、中國醫藥大學、</w:t>
      </w:r>
      <w:proofErr w:type="gramStart"/>
      <w:r w:rsidR="00CA5170" w:rsidRPr="003F2545">
        <w:rPr>
          <w:rFonts w:ascii="Times New Roman" w:eastAsia="標楷體" w:hAnsi="標楷體" w:cs="Times New Roman"/>
          <w:sz w:val="26"/>
          <w:szCs w:val="26"/>
        </w:rPr>
        <w:t>世</w:t>
      </w:r>
      <w:proofErr w:type="gramEnd"/>
      <w:r w:rsidR="00CA5170" w:rsidRPr="003F2545">
        <w:rPr>
          <w:rFonts w:ascii="Times New Roman" w:eastAsia="標楷體" w:hAnsi="標楷體" w:cs="Times New Roman"/>
          <w:sz w:val="26"/>
          <w:szCs w:val="26"/>
        </w:rPr>
        <w:t>新大學、東吳大學、東海大學、長庚大學、高雄醫學大學、國立交通大學、國立成功大學、國立宜蘭大學、國立政治大學、國立清華大學、國立陽明大學、國立彰化師範大學、國立暨南國際大學、國立</w:t>
      </w:r>
      <w:proofErr w:type="gramStart"/>
      <w:r w:rsidR="00CA5170" w:rsidRPr="003F2545">
        <w:rPr>
          <w:rFonts w:ascii="Times New Roman" w:eastAsia="標楷體" w:hAnsi="標楷體" w:cs="Times New Roman"/>
          <w:sz w:val="26"/>
          <w:szCs w:val="26"/>
        </w:rPr>
        <w:t>臺</w:t>
      </w:r>
      <w:proofErr w:type="gramEnd"/>
      <w:r w:rsidR="00CA5170" w:rsidRPr="003F2545">
        <w:rPr>
          <w:rFonts w:ascii="Times New Roman" w:eastAsia="標楷體" w:hAnsi="標楷體" w:cs="Times New Roman"/>
          <w:sz w:val="26"/>
          <w:szCs w:val="26"/>
        </w:rPr>
        <w:t>中教育大學、國立</w:t>
      </w:r>
      <w:proofErr w:type="gramStart"/>
      <w:r w:rsidR="00CA5170" w:rsidRPr="003F2545">
        <w:rPr>
          <w:rFonts w:ascii="Times New Roman" w:eastAsia="標楷體" w:hAnsi="標楷體" w:cs="Times New Roman"/>
          <w:sz w:val="26"/>
          <w:szCs w:val="26"/>
        </w:rPr>
        <w:t>臺</w:t>
      </w:r>
      <w:proofErr w:type="gramEnd"/>
      <w:r w:rsidR="00CA5170" w:rsidRPr="003F2545">
        <w:rPr>
          <w:rFonts w:ascii="Times New Roman" w:eastAsia="標楷體" w:hAnsi="標楷體" w:cs="Times New Roman"/>
          <w:sz w:val="26"/>
          <w:szCs w:val="26"/>
        </w:rPr>
        <w:t>北大學、國立</w:t>
      </w:r>
      <w:proofErr w:type="gramStart"/>
      <w:r w:rsidR="00CA5170" w:rsidRPr="003F2545">
        <w:rPr>
          <w:rFonts w:ascii="Times New Roman" w:eastAsia="標楷體" w:hAnsi="標楷體" w:cs="Times New Roman"/>
          <w:sz w:val="26"/>
          <w:szCs w:val="26"/>
        </w:rPr>
        <w:t>臺</w:t>
      </w:r>
      <w:proofErr w:type="gramEnd"/>
      <w:r w:rsidR="00CA5170" w:rsidRPr="003F2545">
        <w:rPr>
          <w:rFonts w:ascii="Times New Roman" w:eastAsia="標楷體" w:hAnsi="標楷體" w:cs="Times New Roman"/>
          <w:sz w:val="26"/>
          <w:szCs w:val="26"/>
        </w:rPr>
        <w:t>南大學、國立臺灣大學、</w:t>
      </w:r>
      <w:r w:rsidR="00CA5170" w:rsidRPr="003F2545">
        <w:rPr>
          <w:rFonts w:ascii="Times New Roman" w:eastAsia="標楷體" w:hAnsi="標楷體" w:cs="Times New Roman"/>
          <w:sz w:val="26"/>
          <w:szCs w:val="26"/>
        </w:rPr>
        <w:lastRenderedPageBreak/>
        <w:t>國立臺灣師範大學、淡江大學、華</w:t>
      </w:r>
      <w:proofErr w:type="gramStart"/>
      <w:r w:rsidR="00CA5170" w:rsidRPr="003F2545">
        <w:rPr>
          <w:rFonts w:ascii="Times New Roman" w:eastAsia="標楷體" w:hAnsi="標楷體" w:cs="Times New Roman"/>
          <w:sz w:val="26"/>
          <w:szCs w:val="26"/>
        </w:rPr>
        <w:t>梵</w:t>
      </w:r>
      <w:proofErr w:type="gramEnd"/>
      <w:r w:rsidR="00CA5170" w:rsidRPr="003F2545">
        <w:rPr>
          <w:rFonts w:ascii="Times New Roman" w:eastAsia="標楷體" w:hAnsi="標楷體" w:cs="Times New Roman"/>
          <w:sz w:val="26"/>
          <w:szCs w:val="26"/>
        </w:rPr>
        <w:t>大學、</w:t>
      </w:r>
      <w:proofErr w:type="gramStart"/>
      <w:r w:rsidR="00CA5170" w:rsidRPr="003F2545">
        <w:rPr>
          <w:rFonts w:ascii="Times New Roman" w:eastAsia="標楷體" w:hAnsi="標楷體" w:cs="Times New Roman"/>
          <w:sz w:val="26"/>
          <w:szCs w:val="26"/>
        </w:rPr>
        <w:t>臺</w:t>
      </w:r>
      <w:proofErr w:type="gramEnd"/>
      <w:r w:rsidR="00CA5170" w:rsidRPr="003F2545">
        <w:rPr>
          <w:rFonts w:ascii="Times New Roman" w:eastAsia="標楷體" w:hAnsi="標楷體" w:cs="Times New Roman"/>
          <w:sz w:val="26"/>
          <w:szCs w:val="26"/>
        </w:rPr>
        <w:t>北醫學大學、輔仁大學、銘傳大學</w:t>
      </w:r>
      <w:r w:rsidR="00923E37" w:rsidRPr="003F2545">
        <w:rPr>
          <w:rFonts w:ascii="Times New Roman" w:eastAsia="標楷體" w:hAnsi="標楷體" w:cs="Times New Roman" w:hint="eastAsia"/>
          <w:sz w:val="26"/>
          <w:szCs w:val="26"/>
        </w:rPr>
        <w:t>等校</w:t>
      </w:r>
      <w:r w:rsidR="00E94AD5" w:rsidRPr="003F2545">
        <w:rPr>
          <w:rFonts w:ascii="Times New Roman" w:eastAsia="標楷體" w:hAnsi="標楷體" w:cs="Times New Roman" w:hint="eastAsia"/>
          <w:sz w:val="26"/>
          <w:szCs w:val="26"/>
        </w:rPr>
        <w:t>；</w:t>
      </w:r>
      <w:r w:rsidRPr="003F2545">
        <w:rPr>
          <w:rFonts w:ascii="Times New Roman" w:eastAsia="標楷體" w:hAnsi="標楷體" w:cs="Times New Roman" w:hint="eastAsia"/>
          <w:sz w:val="26"/>
          <w:szCs w:val="26"/>
        </w:rPr>
        <w:t>而</w:t>
      </w:r>
      <w:r w:rsidR="00CA5170" w:rsidRPr="003F2545">
        <w:rPr>
          <w:rFonts w:ascii="Times New Roman" w:eastAsia="標楷體" w:hAnsi="標楷體" w:cs="Times New Roman"/>
          <w:sz w:val="26"/>
          <w:szCs w:val="26"/>
        </w:rPr>
        <w:t>一貫道天皇學院</w:t>
      </w:r>
      <w:r w:rsidR="00CA5170" w:rsidRPr="003F2545">
        <w:rPr>
          <w:rFonts w:ascii="Times New Roman" w:eastAsia="標楷體" w:hAnsi="標楷體" w:cs="Times New Roman" w:hint="eastAsia"/>
          <w:sz w:val="26"/>
          <w:szCs w:val="26"/>
        </w:rPr>
        <w:t>及</w:t>
      </w:r>
      <w:r w:rsidR="00CA5170" w:rsidRPr="003F2545">
        <w:rPr>
          <w:rFonts w:ascii="Times New Roman" w:eastAsia="標楷體" w:hAnsi="標楷體" w:cs="Times New Roman"/>
          <w:sz w:val="26"/>
          <w:szCs w:val="26"/>
        </w:rPr>
        <w:t>台灣神學研究學院</w:t>
      </w:r>
      <w:r w:rsidR="004E40DF" w:rsidRPr="003F2545">
        <w:rPr>
          <w:rFonts w:ascii="Times New Roman" w:eastAsia="標楷體" w:hAnsi="標楷體" w:cs="Times New Roman" w:hint="eastAsia"/>
          <w:sz w:val="26"/>
          <w:szCs w:val="26"/>
        </w:rPr>
        <w:t>於「</w:t>
      </w:r>
      <w:r w:rsidR="004E40DF" w:rsidRPr="003F2545">
        <w:rPr>
          <w:rFonts w:ascii="Times New Roman" w:eastAsia="標楷體" w:hAnsi="標楷體" w:cs="Times New Roman"/>
          <w:sz w:val="26"/>
          <w:szCs w:val="26"/>
        </w:rPr>
        <w:t>項目</w:t>
      </w:r>
      <w:proofErr w:type="gramStart"/>
      <w:r w:rsidR="00CA5170" w:rsidRPr="003F2545">
        <w:rPr>
          <w:rFonts w:ascii="Times New Roman" w:eastAsia="標楷體" w:hAnsi="標楷體" w:cs="Times New Roman" w:hint="eastAsia"/>
          <w:sz w:val="26"/>
          <w:szCs w:val="26"/>
        </w:rPr>
        <w:t>三</w:t>
      </w:r>
      <w:proofErr w:type="gramEnd"/>
      <w:r w:rsidR="004E40DF" w:rsidRPr="003F2545">
        <w:rPr>
          <w:rFonts w:ascii="Times New Roman" w:eastAsia="標楷體" w:hAnsi="標楷體" w:cs="Times New Roman" w:hint="eastAsia"/>
          <w:sz w:val="26"/>
          <w:szCs w:val="26"/>
        </w:rPr>
        <w:t>：</w:t>
      </w:r>
      <w:r w:rsidR="00CA5170" w:rsidRPr="003F2545">
        <w:rPr>
          <w:rFonts w:ascii="Times New Roman" w:eastAsia="標楷體" w:hAnsi="標楷體" w:cs="Times New Roman" w:hint="eastAsia"/>
          <w:bCs/>
          <w:sz w:val="26"/>
          <w:szCs w:val="26"/>
        </w:rPr>
        <w:t>辦學成效</w:t>
      </w:r>
      <w:r w:rsidR="004E40DF" w:rsidRPr="003F2545">
        <w:rPr>
          <w:rFonts w:ascii="Times New Roman" w:eastAsia="標楷體" w:hAnsi="標楷體" w:cs="Times New Roman" w:hint="eastAsia"/>
          <w:sz w:val="26"/>
          <w:szCs w:val="26"/>
        </w:rPr>
        <w:t>」為</w:t>
      </w:r>
      <w:r w:rsidR="005C03F6" w:rsidRPr="003F2545">
        <w:rPr>
          <w:rFonts w:ascii="Times New Roman" w:eastAsia="標楷體" w:hAnsi="標楷體" w:cs="Times New Roman"/>
          <w:sz w:val="26"/>
          <w:szCs w:val="26"/>
        </w:rPr>
        <w:t>「</w:t>
      </w:r>
      <w:r w:rsidR="005C03F6" w:rsidRPr="003F2545">
        <w:rPr>
          <w:rFonts w:ascii="Times New Roman" w:eastAsia="標楷體" w:hAnsi="標楷體" w:cs="Times New Roman" w:hint="eastAsia"/>
          <w:sz w:val="26"/>
          <w:szCs w:val="26"/>
        </w:rPr>
        <w:t>有條件通過</w:t>
      </w:r>
      <w:r w:rsidR="005C03F6" w:rsidRPr="003F2545">
        <w:rPr>
          <w:rFonts w:ascii="Times New Roman" w:eastAsia="標楷體" w:hAnsi="標楷體" w:cs="Times New Roman"/>
          <w:sz w:val="26"/>
          <w:szCs w:val="26"/>
        </w:rPr>
        <w:t>」</w:t>
      </w:r>
      <w:r w:rsidRPr="003F2545">
        <w:rPr>
          <w:rFonts w:ascii="Times New Roman" w:eastAsia="標楷體" w:hAnsi="標楷體" w:cs="Times New Roman" w:hint="eastAsia"/>
          <w:sz w:val="26"/>
          <w:szCs w:val="26"/>
        </w:rPr>
        <w:t>。</w:t>
      </w:r>
      <w:r w:rsidR="005D7313" w:rsidRPr="003F2545">
        <w:rPr>
          <w:rFonts w:ascii="Times New Roman" w:eastAsia="標楷體" w:hAnsi="標楷體" w:cs="Times New Roman" w:hint="eastAsia"/>
          <w:sz w:val="26"/>
          <w:szCs w:val="26"/>
        </w:rPr>
        <w:t>未獲通過之原因</w:t>
      </w:r>
      <w:r w:rsidRPr="003F2545">
        <w:rPr>
          <w:rFonts w:ascii="Times New Roman" w:eastAsia="標楷體" w:hAnsi="標楷體" w:cs="Times New Roman" w:hint="eastAsia"/>
          <w:sz w:val="26"/>
          <w:szCs w:val="26"/>
        </w:rPr>
        <w:t>主要在於評鑑委員認為學校</w:t>
      </w:r>
      <w:r w:rsidR="00960A0B" w:rsidRPr="003F2545">
        <w:rPr>
          <w:rFonts w:ascii="Times New Roman" w:eastAsia="標楷體" w:hAnsi="標楷體" w:cs="Times New Roman" w:hint="eastAsia"/>
          <w:sz w:val="26"/>
          <w:szCs w:val="26"/>
        </w:rPr>
        <w:t>未能系統性呈現辦學成效，辦學績效未能呈現在學校網頁；</w:t>
      </w:r>
      <w:proofErr w:type="gramStart"/>
      <w:r w:rsidR="00960A0B" w:rsidRPr="003F2545">
        <w:rPr>
          <w:rFonts w:ascii="Times New Roman" w:eastAsia="標楷體" w:hAnsi="標楷體" w:cs="Times New Roman" w:hint="eastAsia"/>
          <w:sz w:val="26"/>
          <w:szCs w:val="26"/>
        </w:rPr>
        <w:t>再者，</w:t>
      </w:r>
      <w:proofErr w:type="gramEnd"/>
      <w:r w:rsidR="00960A0B" w:rsidRPr="003F2545">
        <w:rPr>
          <w:rFonts w:ascii="Times New Roman" w:eastAsia="標楷體" w:hAnsi="標楷體" w:cs="Times New Roman" w:hint="eastAsia"/>
          <w:sz w:val="26"/>
          <w:szCs w:val="26"/>
        </w:rPr>
        <w:t>教師的研究成效有待提升或者無法符合學校自我定位，以及沒有具體呈現學生核心能力與學習成果的關連性。</w:t>
      </w:r>
    </w:p>
    <w:p w:rsidR="002A476D" w:rsidRPr="003F2545" w:rsidRDefault="00B61C33" w:rsidP="004E40DF">
      <w:pPr>
        <w:spacing w:line="420" w:lineRule="exact"/>
        <w:ind w:firstLineChars="200" w:firstLine="520"/>
        <w:jc w:val="both"/>
        <w:rPr>
          <w:rFonts w:ascii="Times New Roman" w:eastAsia="標楷體" w:hAnsi="標楷體" w:cs="Times New Roman"/>
          <w:sz w:val="26"/>
          <w:szCs w:val="26"/>
          <w:shd w:val="pct15" w:color="auto" w:fill="FFFFFF"/>
        </w:rPr>
      </w:pPr>
      <w:r w:rsidRPr="003F2545">
        <w:rPr>
          <w:rFonts w:ascii="Times New Roman" w:eastAsia="標楷體" w:hAnsi="標楷體" w:cs="Times New Roman" w:hint="eastAsia"/>
          <w:sz w:val="26"/>
          <w:szCs w:val="26"/>
        </w:rPr>
        <w:t>雖然</w:t>
      </w:r>
      <w:r w:rsidR="005D7313" w:rsidRPr="003F2545">
        <w:rPr>
          <w:rFonts w:ascii="Times New Roman" w:eastAsia="標楷體" w:hAnsi="標楷體" w:cs="Times New Roman" w:hint="eastAsia"/>
          <w:sz w:val="26"/>
          <w:szCs w:val="26"/>
        </w:rPr>
        <w:t>整體</w:t>
      </w:r>
      <w:r w:rsidRPr="003F2545">
        <w:rPr>
          <w:rFonts w:ascii="Times New Roman" w:eastAsia="標楷體" w:hAnsi="標楷體" w:cs="Times New Roman" w:hint="eastAsia"/>
          <w:sz w:val="26"/>
          <w:szCs w:val="26"/>
        </w:rPr>
        <w:t>評鑑結果通過</w:t>
      </w:r>
      <w:r w:rsidR="00187A6D" w:rsidRPr="003F2545">
        <w:rPr>
          <w:rFonts w:ascii="Times New Roman" w:eastAsia="標楷體" w:hAnsi="標楷體" w:cs="Times New Roman" w:hint="eastAsia"/>
          <w:sz w:val="26"/>
          <w:szCs w:val="26"/>
        </w:rPr>
        <w:t>率高</w:t>
      </w:r>
      <w:r w:rsidRPr="003F2545">
        <w:rPr>
          <w:rFonts w:ascii="Times New Roman" w:eastAsia="標楷體" w:hAnsi="標楷體" w:cs="Times New Roman" w:hint="eastAsia"/>
          <w:sz w:val="26"/>
          <w:szCs w:val="26"/>
        </w:rPr>
        <w:t>，但</w:t>
      </w:r>
      <w:r w:rsidR="00282E2C" w:rsidRPr="003F2545">
        <w:rPr>
          <w:rFonts w:ascii="Times New Roman" w:eastAsia="標楷體" w:hAnsi="標楷體" w:cs="Times New Roman" w:hint="eastAsia"/>
          <w:sz w:val="26"/>
          <w:szCs w:val="26"/>
        </w:rPr>
        <w:t>進一步檢視</w:t>
      </w:r>
      <w:r w:rsidR="0061572F" w:rsidRPr="003F2545">
        <w:rPr>
          <w:rFonts w:ascii="Times New Roman" w:eastAsia="標楷體" w:hAnsi="標楷體" w:cs="Times New Roman" w:hint="eastAsia"/>
          <w:sz w:val="26"/>
          <w:szCs w:val="26"/>
        </w:rPr>
        <w:t>評鑑</w:t>
      </w:r>
      <w:r w:rsidR="00282E2C" w:rsidRPr="003F2545">
        <w:rPr>
          <w:rFonts w:ascii="Times New Roman" w:eastAsia="標楷體" w:hAnsi="標楷體" w:cs="Times New Roman" w:hint="eastAsia"/>
          <w:sz w:val="26"/>
          <w:szCs w:val="26"/>
        </w:rPr>
        <w:t>委員所提出的「待改善事項」，總計</w:t>
      </w:r>
      <w:r w:rsidR="00187A6D" w:rsidRPr="003F2545">
        <w:rPr>
          <w:rFonts w:ascii="Times New Roman" w:eastAsia="標楷體" w:hAnsi="標楷體" w:cs="Times New Roman" w:hint="eastAsia"/>
          <w:sz w:val="26"/>
          <w:szCs w:val="26"/>
        </w:rPr>
        <w:t>2</w:t>
      </w:r>
      <w:r w:rsidR="00827877" w:rsidRPr="003F2545">
        <w:rPr>
          <w:rFonts w:ascii="Times New Roman" w:eastAsia="標楷體" w:hAnsi="標楷體" w:cs="Times New Roman" w:hint="eastAsia"/>
          <w:sz w:val="26"/>
          <w:szCs w:val="26"/>
        </w:rPr>
        <w:t>7</w:t>
      </w:r>
      <w:r w:rsidR="00282E2C" w:rsidRPr="003F2545">
        <w:rPr>
          <w:rFonts w:ascii="Times New Roman" w:eastAsia="標楷體" w:hAnsi="標楷體" w:cs="Times New Roman" w:hint="eastAsia"/>
          <w:sz w:val="26"/>
          <w:szCs w:val="26"/>
        </w:rPr>
        <w:t>所</w:t>
      </w:r>
      <w:r w:rsidR="00187A6D" w:rsidRPr="003F2545">
        <w:rPr>
          <w:rFonts w:ascii="Times New Roman" w:eastAsia="標楷體" w:hAnsi="標楷體" w:cs="Times New Roman" w:hint="eastAsia"/>
          <w:sz w:val="26"/>
          <w:szCs w:val="26"/>
        </w:rPr>
        <w:t>一般大學</w:t>
      </w:r>
      <w:r w:rsidR="00282E2C" w:rsidRPr="003F2545">
        <w:rPr>
          <w:rFonts w:ascii="Times New Roman" w:eastAsia="標楷體" w:hAnsi="標楷體" w:cs="Times New Roman" w:hint="eastAsia"/>
          <w:sz w:val="26"/>
          <w:szCs w:val="26"/>
        </w:rPr>
        <w:t>四個項目共有</w:t>
      </w:r>
      <w:r w:rsidR="00827877" w:rsidRPr="003F2545">
        <w:rPr>
          <w:rFonts w:ascii="Times New Roman" w:eastAsia="標楷體" w:hAnsi="標楷體" w:cs="Times New Roman" w:hint="eastAsia"/>
          <w:sz w:val="26"/>
          <w:szCs w:val="26"/>
        </w:rPr>
        <w:t>279</w:t>
      </w:r>
      <w:r w:rsidR="00282E2C" w:rsidRPr="003F2545">
        <w:rPr>
          <w:rFonts w:ascii="Times New Roman" w:eastAsia="標楷體" w:hAnsi="標楷體" w:cs="Times New Roman" w:hint="eastAsia"/>
          <w:sz w:val="26"/>
          <w:szCs w:val="26"/>
        </w:rPr>
        <w:t>項意見。同時，</w:t>
      </w:r>
      <w:r w:rsidR="0061572F" w:rsidRPr="003F2545">
        <w:rPr>
          <w:rFonts w:ascii="Times New Roman" w:eastAsia="標楷體" w:hAnsi="標楷體" w:cs="Times New Roman" w:hint="eastAsia"/>
          <w:sz w:val="26"/>
          <w:szCs w:val="26"/>
        </w:rPr>
        <w:t>評鑑</w:t>
      </w:r>
      <w:r w:rsidR="00BB5C29" w:rsidRPr="003F2545">
        <w:rPr>
          <w:rFonts w:ascii="Times New Roman" w:eastAsia="標楷體" w:hAnsi="標楷體" w:cs="Times New Roman" w:hint="eastAsia"/>
          <w:sz w:val="26"/>
          <w:szCs w:val="26"/>
        </w:rPr>
        <w:t>委員所</w:t>
      </w:r>
      <w:r w:rsidR="00187A6D" w:rsidRPr="003F2545">
        <w:rPr>
          <w:rFonts w:ascii="Times New Roman" w:eastAsia="標楷體" w:hAnsi="標楷體" w:cs="Times New Roman" w:hint="eastAsia"/>
          <w:sz w:val="26"/>
          <w:szCs w:val="26"/>
        </w:rPr>
        <w:t>提出之</w:t>
      </w:r>
      <w:r w:rsidR="00282E2C" w:rsidRPr="003F2545">
        <w:rPr>
          <w:rFonts w:ascii="Times New Roman" w:eastAsia="標楷體" w:hAnsi="標楷體" w:cs="Times New Roman"/>
          <w:sz w:val="26"/>
          <w:szCs w:val="26"/>
        </w:rPr>
        <w:t>「</w:t>
      </w:r>
      <w:r w:rsidR="0061572F" w:rsidRPr="003F2545">
        <w:rPr>
          <w:rFonts w:ascii="Times New Roman" w:eastAsia="標楷體" w:hAnsi="標楷體" w:cs="Times New Roman" w:hint="eastAsia"/>
          <w:sz w:val="26"/>
          <w:szCs w:val="26"/>
        </w:rPr>
        <w:t>針對</w:t>
      </w:r>
      <w:r w:rsidR="00282E2C" w:rsidRPr="003F2545">
        <w:rPr>
          <w:rFonts w:ascii="Times New Roman" w:eastAsia="標楷體" w:hAnsi="標楷體" w:cs="Times New Roman"/>
          <w:sz w:val="26"/>
          <w:szCs w:val="26"/>
        </w:rPr>
        <w:t>未來發展之參考建議」</w:t>
      </w:r>
      <w:r w:rsidR="00722AFE" w:rsidRPr="003F2545">
        <w:rPr>
          <w:rFonts w:ascii="Times New Roman" w:eastAsia="標楷體" w:hAnsi="標楷體" w:cs="Times New Roman"/>
          <w:sz w:val="26"/>
          <w:szCs w:val="26"/>
        </w:rPr>
        <w:t>也達</w:t>
      </w:r>
      <w:r w:rsidR="00827877" w:rsidRPr="003F2545">
        <w:rPr>
          <w:rFonts w:ascii="Times New Roman" w:eastAsia="標楷體" w:hAnsi="Times New Roman" w:cs="Times New Roman" w:hint="eastAsia"/>
          <w:sz w:val="26"/>
          <w:szCs w:val="26"/>
        </w:rPr>
        <w:t>219</w:t>
      </w:r>
      <w:r w:rsidR="00282E2C" w:rsidRPr="003F2545">
        <w:rPr>
          <w:rFonts w:ascii="Times New Roman" w:eastAsia="標楷體" w:hAnsi="標楷體" w:cs="Times New Roman"/>
          <w:sz w:val="26"/>
          <w:szCs w:val="26"/>
        </w:rPr>
        <w:t>項</w:t>
      </w:r>
      <w:r w:rsidR="002A476D" w:rsidRPr="003F2545">
        <w:rPr>
          <w:rFonts w:ascii="Times New Roman" w:eastAsia="標楷體" w:hAnsi="標楷體" w:cs="Times New Roman" w:hint="eastAsia"/>
          <w:sz w:val="26"/>
          <w:szCs w:val="26"/>
        </w:rPr>
        <w:t>，</w:t>
      </w:r>
      <w:r w:rsidR="002A476D" w:rsidRPr="003F2545">
        <w:rPr>
          <w:rFonts w:ascii="Times New Roman" w:eastAsia="標楷體" w:hAnsi="標楷體" w:cs="Times New Roman"/>
          <w:sz w:val="26"/>
          <w:szCs w:val="26"/>
        </w:rPr>
        <w:t>如表</w:t>
      </w:r>
      <w:r w:rsidR="002A476D" w:rsidRPr="003F2545">
        <w:rPr>
          <w:rFonts w:ascii="Times New Roman" w:eastAsia="標楷體" w:hAnsi="Times New Roman" w:cs="Times New Roman"/>
          <w:sz w:val="26"/>
          <w:szCs w:val="26"/>
        </w:rPr>
        <w:t>1</w:t>
      </w:r>
      <w:r w:rsidR="002A476D" w:rsidRPr="003F2545">
        <w:rPr>
          <w:rFonts w:ascii="Times New Roman" w:eastAsia="標楷體" w:hAnsi="標楷體" w:cs="Times New Roman"/>
          <w:sz w:val="26"/>
          <w:szCs w:val="26"/>
        </w:rPr>
        <w:t>。</w:t>
      </w:r>
    </w:p>
    <w:p w:rsidR="0061572F" w:rsidRPr="003F2545" w:rsidRDefault="0061572F" w:rsidP="003C7156">
      <w:pPr>
        <w:spacing w:line="420" w:lineRule="exact"/>
        <w:ind w:firstLineChars="200" w:firstLine="520"/>
        <w:rPr>
          <w:rFonts w:ascii="Times New Roman" w:eastAsia="標楷體" w:hAnsi="標楷體" w:cs="Times New Roman"/>
          <w:sz w:val="26"/>
          <w:szCs w:val="26"/>
          <w:shd w:val="clear" w:color="auto" w:fill="FDFDFD"/>
        </w:rPr>
      </w:pPr>
    </w:p>
    <w:p w:rsidR="002A476D" w:rsidRPr="003F2545" w:rsidRDefault="002A476D" w:rsidP="002A476D">
      <w:pPr>
        <w:rPr>
          <w:rFonts w:ascii="Times New Roman" w:eastAsia="標楷體" w:hAnsi="Times New Roman" w:cs="Times New Roman"/>
          <w:szCs w:val="24"/>
          <w:shd w:val="clear" w:color="auto" w:fill="FDFDFD"/>
        </w:rPr>
      </w:pPr>
      <w:r w:rsidRPr="003F2545">
        <w:rPr>
          <w:rFonts w:ascii="Times New Roman" w:eastAsia="標楷體" w:hAnsi="標楷體" w:cs="Times New Roman"/>
          <w:szCs w:val="24"/>
          <w:shd w:val="clear" w:color="auto" w:fill="FDFDFD"/>
        </w:rPr>
        <w:t>表</w:t>
      </w:r>
      <w:r w:rsidRPr="003F2545">
        <w:rPr>
          <w:rFonts w:ascii="Times New Roman" w:eastAsia="標楷體" w:hAnsi="Times New Roman" w:cs="Times New Roman"/>
          <w:szCs w:val="24"/>
          <w:shd w:val="clear" w:color="auto" w:fill="FDFDFD"/>
        </w:rPr>
        <w:t>1</w:t>
      </w:r>
      <w:r w:rsidRPr="003F2545">
        <w:rPr>
          <w:rFonts w:ascii="Times New Roman" w:eastAsia="標楷體" w:hAnsi="標楷體" w:cs="Times New Roman"/>
          <w:szCs w:val="24"/>
          <w:shd w:val="clear" w:color="auto" w:fill="FDFDFD"/>
        </w:rPr>
        <w:t>、</w:t>
      </w:r>
      <w:r w:rsidRPr="003F2545">
        <w:rPr>
          <w:rFonts w:ascii="Times New Roman" w:eastAsia="標楷體" w:hAnsi="Times New Roman" w:cs="Times New Roman"/>
          <w:szCs w:val="24"/>
          <w:shd w:val="clear" w:color="auto" w:fill="FDFDFD"/>
        </w:rPr>
        <w:t>10</w:t>
      </w:r>
      <w:r w:rsidR="00187A6D" w:rsidRPr="003F2545">
        <w:rPr>
          <w:rFonts w:ascii="Times New Roman" w:eastAsia="標楷體" w:hAnsi="Times New Roman" w:cs="Times New Roman" w:hint="eastAsia"/>
          <w:szCs w:val="24"/>
          <w:shd w:val="clear" w:color="auto" w:fill="FDFDFD"/>
        </w:rPr>
        <w:t>7</w:t>
      </w:r>
      <w:r w:rsidR="00CA5170" w:rsidRPr="003F2545">
        <w:rPr>
          <w:rFonts w:ascii="Times New Roman" w:eastAsia="標楷體" w:hAnsi="Times New Roman" w:cs="Times New Roman" w:hint="eastAsia"/>
          <w:szCs w:val="24"/>
          <w:shd w:val="clear" w:color="auto" w:fill="FDFDFD"/>
        </w:rPr>
        <w:t>下</w:t>
      </w:r>
      <w:r w:rsidRPr="003F2545">
        <w:rPr>
          <w:rFonts w:ascii="Times New Roman" w:eastAsia="標楷體" w:hAnsi="標楷體" w:cs="Times New Roman"/>
          <w:szCs w:val="24"/>
          <w:shd w:val="clear" w:color="auto" w:fill="FDFDFD"/>
        </w:rPr>
        <w:t>半年</w:t>
      </w:r>
      <w:r w:rsidR="00187A6D" w:rsidRPr="003F2545">
        <w:rPr>
          <w:rFonts w:ascii="Times New Roman" w:eastAsia="標楷體" w:hAnsi="Times New Roman" w:cs="Times New Roman" w:hint="eastAsia"/>
          <w:szCs w:val="24"/>
          <w:shd w:val="clear" w:color="auto" w:fill="FDFDFD"/>
        </w:rPr>
        <w:t>2</w:t>
      </w:r>
      <w:r w:rsidR="00CA5170" w:rsidRPr="003F2545">
        <w:rPr>
          <w:rFonts w:ascii="Times New Roman" w:eastAsia="標楷體" w:hAnsi="Times New Roman" w:cs="Times New Roman" w:hint="eastAsia"/>
          <w:szCs w:val="24"/>
          <w:shd w:val="clear" w:color="auto" w:fill="FDFDFD"/>
        </w:rPr>
        <w:t>7</w:t>
      </w:r>
      <w:r w:rsidRPr="003F2545">
        <w:rPr>
          <w:rFonts w:ascii="Times New Roman" w:eastAsia="標楷體" w:hAnsi="標楷體" w:cs="Times New Roman"/>
          <w:szCs w:val="24"/>
          <w:shd w:val="clear" w:color="auto" w:fill="FDFDFD"/>
        </w:rPr>
        <w:t>所</w:t>
      </w:r>
      <w:r w:rsidR="00187A6D" w:rsidRPr="003F2545">
        <w:rPr>
          <w:rFonts w:ascii="Times New Roman" w:eastAsia="標楷體" w:hAnsi="標楷體" w:cs="Times New Roman" w:hint="eastAsia"/>
          <w:szCs w:val="24"/>
          <w:shd w:val="clear" w:color="auto" w:fill="FDFDFD"/>
        </w:rPr>
        <w:t>一般</w:t>
      </w:r>
      <w:r w:rsidRPr="003F2545">
        <w:rPr>
          <w:rFonts w:ascii="Times New Roman" w:eastAsia="標楷體" w:hAnsi="標楷體" w:cs="Times New Roman"/>
          <w:szCs w:val="24"/>
          <w:shd w:val="clear" w:color="auto" w:fill="FDFDFD"/>
        </w:rPr>
        <w:t>大學校務評鑑四大項目待改善與未來建議數量一覽表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093"/>
        <w:gridCol w:w="1253"/>
        <w:gridCol w:w="1254"/>
        <w:gridCol w:w="1254"/>
        <w:gridCol w:w="1254"/>
        <w:gridCol w:w="1254"/>
      </w:tblGrid>
      <w:tr w:rsidR="002A476D" w:rsidRPr="003F2545" w:rsidTr="0061572F">
        <w:trPr>
          <w:trHeight w:val="557"/>
        </w:trPr>
        <w:tc>
          <w:tcPr>
            <w:tcW w:w="2093" w:type="dxa"/>
            <w:vAlign w:val="center"/>
          </w:tcPr>
          <w:p w:rsidR="002A476D" w:rsidRPr="003F2545" w:rsidRDefault="002A476D" w:rsidP="00485D13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</w:p>
        </w:tc>
        <w:tc>
          <w:tcPr>
            <w:tcW w:w="1253" w:type="dxa"/>
            <w:vAlign w:val="center"/>
          </w:tcPr>
          <w:p w:rsidR="002A476D" w:rsidRPr="003F2545" w:rsidRDefault="002A476D" w:rsidP="00485D13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  <w:r w:rsidRPr="003F2545">
              <w:rPr>
                <w:rFonts w:ascii="Times New Roman" w:eastAsia="標楷體" w:hAnsi="標楷體" w:cs="Times New Roman"/>
                <w:szCs w:val="24"/>
                <w:shd w:val="clear" w:color="auto" w:fill="FDFDFD"/>
              </w:rPr>
              <w:t>項目</w:t>
            </w:r>
            <w:proofErr w:type="gramStart"/>
            <w:r w:rsidRPr="003F2545">
              <w:rPr>
                <w:rFonts w:ascii="Times New Roman" w:eastAsia="標楷體" w:hAnsi="標楷體" w:cs="Times New Roman"/>
                <w:szCs w:val="24"/>
                <w:shd w:val="clear" w:color="auto" w:fill="FDFDFD"/>
              </w:rPr>
              <w:t>一</w:t>
            </w:r>
            <w:proofErr w:type="gramEnd"/>
          </w:p>
        </w:tc>
        <w:tc>
          <w:tcPr>
            <w:tcW w:w="1254" w:type="dxa"/>
            <w:vAlign w:val="center"/>
          </w:tcPr>
          <w:p w:rsidR="002A476D" w:rsidRPr="003F2545" w:rsidRDefault="002A476D" w:rsidP="00485D13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  <w:r w:rsidRPr="003F2545">
              <w:rPr>
                <w:rFonts w:ascii="Times New Roman" w:eastAsia="標楷體" w:hAnsi="標楷體" w:cs="Times New Roman"/>
                <w:szCs w:val="24"/>
                <w:shd w:val="clear" w:color="auto" w:fill="FDFDFD"/>
              </w:rPr>
              <w:t>項目二</w:t>
            </w:r>
          </w:p>
        </w:tc>
        <w:tc>
          <w:tcPr>
            <w:tcW w:w="1254" w:type="dxa"/>
            <w:vAlign w:val="center"/>
          </w:tcPr>
          <w:p w:rsidR="002A476D" w:rsidRPr="003F2545" w:rsidRDefault="002A476D" w:rsidP="00485D13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  <w:r w:rsidRPr="003F2545">
              <w:rPr>
                <w:rFonts w:ascii="Times New Roman" w:eastAsia="標楷體" w:hAnsi="標楷體" w:cs="Times New Roman"/>
                <w:szCs w:val="24"/>
                <w:shd w:val="clear" w:color="auto" w:fill="FDFDFD"/>
              </w:rPr>
              <w:t>項目三</w:t>
            </w:r>
          </w:p>
        </w:tc>
        <w:tc>
          <w:tcPr>
            <w:tcW w:w="1254" w:type="dxa"/>
            <w:vAlign w:val="center"/>
          </w:tcPr>
          <w:p w:rsidR="002A476D" w:rsidRPr="003F2545" w:rsidRDefault="002A476D" w:rsidP="00485D13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  <w:r w:rsidRPr="003F2545">
              <w:rPr>
                <w:rFonts w:ascii="Times New Roman" w:eastAsia="標楷體" w:hAnsi="標楷體" w:cs="Times New Roman"/>
                <w:szCs w:val="24"/>
                <w:shd w:val="clear" w:color="auto" w:fill="FDFDFD"/>
              </w:rPr>
              <w:t>項目四</w:t>
            </w:r>
          </w:p>
        </w:tc>
        <w:tc>
          <w:tcPr>
            <w:tcW w:w="1254" w:type="dxa"/>
            <w:vAlign w:val="center"/>
          </w:tcPr>
          <w:p w:rsidR="002A476D" w:rsidRPr="003F2545" w:rsidRDefault="002A476D" w:rsidP="00485D13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  <w:r w:rsidRPr="003F2545">
              <w:rPr>
                <w:rFonts w:ascii="Times New Roman" w:eastAsia="標楷體" w:hAnsi="標楷體" w:cs="Times New Roman"/>
                <w:szCs w:val="24"/>
                <w:shd w:val="clear" w:color="auto" w:fill="FDFDFD"/>
              </w:rPr>
              <w:t>小計</w:t>
            </w:r>
          </w:p>
        </w:tc>
      </w:tr>
      <w:tr w:rsidR="002A476D" w:rsidRPr="003F2545" w:rsidTr="0061572F">
        <w:tc>
          <w:tcPr>
            <w:tcW w:w="2093" w:type="dxa"/>
            <w:vAlign w:val="center"/>
          </w:tcPr>
          <w:p w:rsidR="002A476D" w:rsidRPr="003F2545" w:rsidRDefault="002A476D" w:rsidP="00485D13">
            <w:pPr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  <w:r w:rsidRPr="003F2545">
              <w:rPr>
                <w:rFonts w:ascii="Times New Roman" w:eastAsia="標楷體" w:hAnsi="標楷體" w:cs="Times New Roman"/>
                <w:szCs w:val="24"/>
                <w:shd w:val="clear" w:color="auto" w:fill="FDFDFD"/>
              </w:rPr>
              <w:t>待改善事項數目</w:t>
            </w:r>
          </w:p>
        </w:tc>
        <w:tc>
          <w:tcPr>
            <w:tcW w:w="1253" w:type="dxa"/>
            <w:vAlign w:val="center"/>
          </w:tcPr>
          <w:p w:rsidR="002A476D" w:rsidRPr="003F2545" w:rsidRDefault="00827877" w:rsidP="00485D13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  <w:r w:rsidRPr="003F2545">
              <w:rPr>
                <w:rFonts w:ascii="Times New Roman" w:eastAsia="標楷體" w:hAnsi="Times New Roman" w:cs="Times New Roman" w:hint="eastAsia"/>
                <w:szCs w:val="24"/>
                <w:shd w:val="clear" w:color="auto" w:fill="FDFDFD"/>
              </w:rPr>
              <w:t>59</w:t>
            </w:r>
          </w:p>
        </w:tc>
        <w:tc>
          <w:tcPr>
            <w:tcW w:w="1254" w:type="dxa"/>
            <w:vAlign w:val="center"/>
          </w:tcPr>
          <w:p w:rsidR="002A476D" w:rsidRPr="003F2545" w:rsidRDefault="00827877" w:rsidP="00485D13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  <w:r w:rsidRPr="003F2545">
              <w:rPr>
                <w:rFonts w:ascii="Times New Roman" w:eastAsia="標楷體" w:hAnsi="Times New Roman" w:cs="Times New Roman" w:hint="eastAsia"/>
                <w:szCs w:val="24"/>
                <w:shd w:val="clear" w:color="auto" w:fill="FDFDFD"/>
              </w:rPr>
              <w:t>66</w:t>
            </w:r>
          </w:p>
        </w:tc>
        <w:tc>
          <w:tcPr>
            <w:tcW w:w="1254" w:type="dxa"/>
            <w:vAlign w:val="center"/>
          </w:tcPr>
          <w:p w:rsidR="002A476D" w:rsidRPr="003F2545" w:rsidRDefault="00827877" w:rsidP="00485D13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  <w:r w:rsidRPr="003F2545">
              <w:rPr>
                <w:rFonts w:ascii="Times New Roman" w:eastAsia="標楷體" w:hAnsi="Times New Roman" w:cs="Times New Roman" w:hint="eastAsia"/>
                <w:szCs w:val="24"/>
                <w:shd w:val="clear" w:color="auto" w:fill="FDFDFD"/>
              </w:rPr>
              <w:t>80</w:t>
            </w:r>
          </w:p>
        </w:tc>
        <w:tc>
          <w:tcPr>
            <w:tcW w:w="1254" w:type="dxa"/>
            <w:vAlign w:val="center"/>
          </w:tcPr>
          <w:p w:rsidR="002A476D" w:rsidRPr="003F2545" w:rsidRDefault="00827877" w:rsidP="00485D13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  <w:r w:rsidRPr="003F2545">
              <w:rPr>
                <w:rFonts w:ascii="Times New Roman" w:eastAsia="標楷體" w:hAnsi="Times New Roman" w:cs="Times New Roman" w:hint="eastAsia"/>
                <w:szCs w:val="24"/>
                <w:shd w:val="clear" w:color="auto" w:fill="FDFDFD"/>
              </w:rPr>
              <w:t>74</w:t>
            </w:r>
          </w:p>
        </w:tc>
        <w:tc>
          <w:tcPr>
            <w:tcW w:w="1254" w:type="dxa"/>
            <w:vAlign w:val="center"/>
          </w:tcPr>
          <w:p w:rsidR="002A476D" w:rsidRPr="003F2545" w:rsidRDefault="00827877" w:rsidP="00485D13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  <w:r w:rsidRPr="003F2545">
              <w:rPr>
                <w:rFonts w:ascii="Times New Roman" w:eastAsia="標楷體" w:hAnsi="Times New Roman" w:cs="Times New Roman" w:hint="eastAsia"/>
                <w:szCs w:val="24"/>
                <w:shd w:val="clear" w:color="auto" w:fill="FDFDFD"/>
              </w:rPr>
              <w:t>279</w:t>
            </w:r>
          </w:p>
        </w:tc>
      </w:tr>
      <w:tr w:rsidR="002A476D" w:rsidRPr="003F2545" w:rsidTr="0061572F">
        <w:tc>
          <w:tcPr>
            <w:tcW w:w="2093" w:type="dxa"/>
            <w:vAlign w:val="center"/>
          </w:tcPr>
          <w:p w:rsidR="002A476D" w:rsidRPr="003F2545" w:rsidRDefault="0061572F" w:rsidP="00485D13">
            <w:pPr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  <w:r w:rsidRPr="003F2545">
              <w:rPr>
                <w:rFonts w:ascii="Times New Roman" w:eastAsia="標楷體" w:hAnsi="標楷體" w:cs="Times New Roman" w:hint="eastAsia"/>
                <w:szCs w:val="24"/>
                <w:shd w:val="clear" w:color="auto" w:fill="FDFDFD"/>
              </w:rPr>
              <w:t>針</w:t>
            </w:r>
            <w:r w:rsidR="002A476D" w:rsidRPr="003F2545">
              <w:rPr>
                <w:rFonts w:ascii="Times New Roman" w:eastAsia="標楷體" w:hAnsi="標楷體" w:cs="Times New Roman"/>
                <w:szCs w:val="24"/>
                <w:shd w:val="clear" w:color="auto" w:fill="FDFDFD"/>
              </w:rPr>
              <w:t>對未來</w:t>
            </w:r>
            <w:r w:rsidRPr="003F2545">
              <w:rPr>
                <w:rFonts w:ascii="Times New Roman" w:eastAsia="標楷體" w:hAnsi="標楷體" w:cs="Times New Roman" w:hint="eastAsia"/>
                <w:szCs w:val="24"/>
                <w:shd w:val="clear" w:color="auto" w:fill="FDFDFD"/>
              </w:rPr>
              <w:t>發展之參考</w:t>
            </w:r>
            <w:r w:rsidR="002A476D" w:rsidRPr="003F2545">
              <w:rPr>
                <w:rFonts w:ascii="Times New Roman" w:eastAsia="標楷體" w:hAnsi="標楷體" w:cs="Times New Roman"/>
                <w:szCs w:val="24"/>
                <w:shd w:val="clear" w:color="auto" w:fill="FDFDFD"/>
              </w:rPr>
              <w:t>建議數目</w:t>
            </w:r>
          </w:p>
        </w:tc>
        <w:tc>
          <w:tcPr>
            <w:tcW w:w="1253" w:type="dxa"/>
            <w:vAlign w:val="center"/>
          </w:tcPr>
          <w:p w:rsidR="002A476D" w:rsidRPr="003F2545" w:rsidRDefault="00827877" w:rsidP="00485D13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  <w:r w:rsidRPr="003F2545">
              <w:rPr>
                <w:rFonts w:ascii="Times New Roman" w:eastAsia="標楷體" w:hAnsi="Times New Roman" w:cs="Times New Roman" w:hint="eastAsia"/>
                <w:szCs w:val="24"/>
                <w:shd w:val="clear" w:color="auto" w:fill="FDFDFD"/>
              </w:rPr>
              <w:t>55</w:t>
            </w:r>
          </w:p>
        </w:tc>
        <w:tc>
          <w:tcPr>
            <w:tcW w:w="1254" w:type="dxa"/>
            <w:vAlign w:val="center"/>
          </w:tcPr>
          <w:p w:rsidR="002A476D" w:rsidRPr="003F2545" w:rsidRDefault="00827877" w:rsidP="00485D13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  <w:r w:rsidRPr="003F2545">
              <w:rPr>
                <w:rFonts w:ascii="Times New Roman" w:eastAsia="標楷體" w:hAnsi="Times New Roman" w:cs="Times New Roman" w:hint="eastAsia"/>
                <w:szCs w:val="24"/>
                <w:shd w:val="clear" w:color="auto" w:fill="FDFDFD"/>
              </w:rPr>
              <w:t>53</w:t>
            </w:r>
          </w:p>
        </w:tc>
        <w:tc>
          <w:tcPr>
            <w:tcW w:w="1254" w:type="dxa"/>
            <w:vAlign w:val="center"/>
          </w:tcPr>
          <w:p w:rsidR="002A476D" w:rsidRPr="003F2545" w:rsidRDefault="00827877" w:rsidP="00485D13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  <w:r w:rsidRPr="003F2545">
              <w:rPr>
                <w:rFonts w:ascii="Times New Roman" w:eastAsia="標楷體" w:hAnsi="Times New Roman" w:cs="Times New Roman" w:hint="eastAsia"/>
                <w:szCs w:val="24"/>
                <w:shd w:val="clear" w:color="auto" w:fill="FDFDFD"/>
              </w:rPr>
              <w:t>54</w:t>
            </w:r>
          </w:p>
        </w:tc>
        <w:tc>
          <w:tcPr>
            <w:tcW w:w="1254" w:type="dxa"/>
            <w:vAlign w:val="center"/>
          </w:tcPr>
          <w:p w:rsidR="002A476D" w:rsidRPr="003F2545" w:rsidRDefault="00827877" w:rsidP="00485D13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  <w:r w:rsidRPr="003F2545">
              <w:rPr>
                <w:rFonts w:ascii="Times New Roman" w:eastAsia="標楷體" w:hAnsi="Times New Roman" w:cs="Times New Roman" w:hint="eastAsia"/>
                <w:szCs w:val="24"/>
                <w:shd w:val="clear" w:color="auto" w:fill="FDFDFD"/>
              </w:rPr>
              <w:t>57</w:t>
            </w:r>
          </w:p>
        </w:tc>
        <w:tc>
          <w:tcPr>
            <w:tcW w:w="1254" w:type="dxa"/>
            <w:vAlign w:val="center"/>
          </w:tcPr>
          <w:p w:rsidR="002A476D" w:rsidRPr="003F2545" w:rsidRDefault="00827877" w:rsidP="00485D13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  <w:r w:rsidRPr="003F2545">
              <w:rPr>
                <w:rFonts w:ascii="Times New Roman" w:eastAsia="標楷體" w:hAnsi="Times New Roman" w:cs="Times New Roman" w:hint="eastAsia"/>
                <w:szCs w:val="24"/>
                <w:shd w:val="clear" w:color="auto" w:fill="FDFDFD"/>
              </w:rPr>
              <w:t>219</w:t>
            </w:r>
          </w:p>
        </w:tc>
      </w:tr>
      <w:tr w:rsidR="002A476D" w:rsidRPr="003F2545" w:rsidTr="0061572F">
        <w:trPr>
          <w:trHeight w:val="710"/>
        </w:trPr>
        <w:tc>
          <w:tcPr>
            <w:tcW w:w="2093" w:type="dxa"/>
            <w:vAlign w:val="center"/>
          </w:tcPr>
          <w:p w:rsidR="002A476D" w:rsidRPr="003F2545" w:rsidRDefault="002A476D" w:rsidP="00485D13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  <w:r w:rsidRPr="003F2545">
              <w:rPr>
                <w:rFonts w:ascii="Times New Roman" w:eastAsia="標楷體" w:hAnsi="標楷體" w:cs="Times New Roman"/>
                <w:szCs w:val="24"/>
                <w:shd w:val="clear" w:color="auto" w:fill="FDFDFD"/>
              </w:rPr>
              <w:t>小計</w:t>
            </w:r>
          </w:p>
        </w:tc>
        <w:tc>
          <w:tcPr>
            <w:tcW w:w="1253" w:type="dxa"/>
            <w:vAlign w:val="center"/>
          </w:tcPr>
          <w:p w:rsidR="002A476D" w:rsidRPr="003F2545" w:rsidRDefault="00827877" w:rsidP="00485D13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  <w:r w:rsidRPr="003F2545">
              <w:rPr>
                <w:rFonts w:ascii="Times New Roman" w:eastAsia="標楷體" w:hAnsi="Times New Roman" w:cs="Times New Roman" w:hint="eastAsia"/>
                <w:szCs w:val="24"/>
                <w:shd w:val="clear" w:color="auto" w:fill="FDFDFD"/>
              </w:rPr>
              <w:t>114</w:t>
            </w:r>
          </w:p>
        </w:tc>
        <w:tc>
          <w:tcPr>
            <w:tcW w:w="1254" w:type="dxa"/>
            <w:vAlign w:val="center"/>
          </w:tcPr>
          <w:p w:rsidR="002A476D" w:rsidRPr="003F2545" w:rsidRDefault="00827877" w:rsidP="00485D13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  <w:r w:rsidRPr="003F2545">
              <w:rPr>
                <w:rFonts w:ascii="Times New Roman" w:eastAsia="標楷體" w:hAnsi="Times New Roman" w:cs="Times New Roman" w:hint="eastAsia"/>
                <w:szCs w:val="24"/>
                <w:shd w:val="clear" w:color="auto" w:fill="FDFDFD"/>
              </w:rPr>
              <w:t>119</w:t>
            </w:r>
          </w:p>
        </w:tc>
        <w:tc>
          <w:tcPr>
            <w:tcW w:w="1254" w:type="dxa"/>
            <w:vAlign w:val="center"/>
          </w:tcPr>
          <w:p w:rsidR="002A476D" w:rsidRPr="003F2545" w:rsidRDefault="00827877" w:rsidP="00485D13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  <w:r w:rsidRPr="003F2545">
              <w:rPr>
                <w:rFonts w:ascii="Times New Roman" w:eastAsia="標楷體" w:hAnsi="Times New Roman" w:cs="Times New Roman" w:hint="eastAsia"/>
                <w:szCs w:val="24"/>
                <w:shd w:val="clear" w:color="auto" w:fill="FDFDFD"/>
              </w:rPr>
              <w:t>134</w:t>
            </w:r>
          </w:p>
        </w:tc>
        <w:tc>
          <w:tcPr>
            <w:tcW w:w="1254" w:type="dxa"/>
            <w:vAlign w:val="center"/>
          </w:tcPr>
          <w:p w:rsidR="002A476D" w:rsidRPr="003F2545" w:rsidRDefault="00827877" w:rsidP="00485D13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  <w:r w:rsidRPr="003F2545">
              <w:rPr>
                <w:rFonts w:ascii="Times New Roman" w:eastAsia="標楷體" w:hAnsi="Times New Roman" w:cs="Times New Roman" w:hint="eastAsia"/>
                <w:szCs w:val="24"/>
                <w:shd w:val="clear" w:color="auto" w:fill="FDFDFD"/>
              </w:rPr>
              <w:t>131</w:t>
            </w:r>
          </w:p>
        </w:tc>
        <w:tc>
          <w:tcPr>
            <w:tcW w:w="1254" w:type="dxa"/>
            <w:vAlign w:val="center"/>
          </w:tcPr>
          <w:p w:rsidR="002A476D" w:rsidRPr="003F2545" w:rsidRDefault="00827877" w:rsidP="00485D13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  <w:r w:rsidRPr="003F2545">
              <w:rPr>
                <w:rFonts w:ascii="Times New Roman" w:eastAsia="標楷體" w:hAnsi="Times New Roman" w:cs="Times New Roman" w:hint="eastAsia"/>
                <w:szCs w:val="24"/>
                <w:shd w:val="clear" w:color="auto" w:fill="FDFDFD"/>
              </w:rPr>
              <w:t>498</w:t>
            </w:r>
          </w:p>
        </w:tc>
      </w:tr>
    </w:tbl>
    <w:p w:rsidR="002A476D" w:rsidRDefault="002A476D" w:rsidP="002A476D">
      <w:pPr>
        <w:rPr>
          <w:rFonts w:ascii="Times New Roman" w:eastAsia="標楷體" w:hAnsi="標楷體" w:cs="Times New Roman"/>
          <w:color w:val="000000" w:themeColor="text1"/>
          <w:sz w:val="26"/>
          <w:szCs w:val="26"/>
          <w:shd w:val="clear" w:color="auto" w:fill="FDFDFD"/>
        </w:rPr>
      </w:pPr>
    </w:p>
    <w:p w:rsidR="006B5270" w:rsidRPr="004C206E" w:rsidRDefault="00C82E5A" w:rsidP="003C7156">
      <w:pPr>
        <w:spacing w:line="420" w:lineRule="exact"/>
        <w:ind w:firstLineChars="200" w:firstLine="520"/>
        <w:jc w:val="both"/>
        <w:rPr>
          <w:rFonts w:ascii="Times New Roman" w:eastAsia="標楷體" w:hAnsi="標楷體" w:cs="Times New Roman"/>
          <w:szCs w:val="24"/>
          <w:shd w:val="clear" w:color="auto" w:fill="FDFDFD"/>
        </w:rPr>
      </w:pPr>
      <w:r w:rsidRPr="003F2545">
        <w:rPr>
          <w:rFonts w:ascii="Times New Roman" w:eastAsia="標楷體" w:hAnsi="標楷體" w:cs="Times New Roman" w:hint="eastAsia"/>
          <w:sz w:val="26"/>
          <w:szCs w:val="26"/>
        </w:rPr>
        <w:t>校務評鑑</w:t>
      </w:r>
      <w:r w:rsidR="004840EC" w:rsidRPr="003F2545">
        <w:rPr>
          <w:rFonts w:ascii="Times New Roman" w:eastAsia="標楷體" w:hAnsi="標楷體" w:cs="Times New Roman" w:hint="eastAsia"/>
          <w:sz w:val="26"/>
          <w:szCs w:val="26"/>
        </w:rPr>
        <w:t>在</w:t>
      </w:r>
      <w:r w:rsidRPr="003F2545">
        <w:rPr>
          <w:rFonts w:ascii="Times New Roman" w:eastAsia="標楷體" w:hAnsi="標楷體" w:cs="Times New Roman" w:hint="eastAsia"/>
          <w:sz w:val="26"/>
          <w:szCs w:val="26"/>
        </w:rPr>
        <w:t>認可制的</w:t>
      </w:r>
      <w:r w:rsidR="004840EC" w:rsidRPr="003F2545">
        <w:rPr>
          <w:rFonts w:ascii="Times New Roman" w:eastAsia="標楷體" w:hAnsi="標楷體" w:cs="Times New Roman" w:hint="eastAsia"/>
          <w:sz w:val="26"/>
          <w:szCs w:val="26"/>
        </w:rPr>
        <w:t>規劃下</w:t>
      </w:r>
      <w:r w:rsidRPr="003F2545">
        <w:rPr>
          <w:rFonts w:ascii="Times New Roman" w:eastAsia="標楷體" w:hAnsi="標楷體" w:cs="Times New Roman" w:hint="eastAsia"/>
          <w:sz w:val="26"/>
          <w:szCs w:val="26"/>
        </w:rPr>
        <w:t>，</w:t>
      </w:r>
      <w:r w:rsidR="00BB72A4" w:rsidRPr="003F2545">
        <w:rPr>
          <w:rFonts w:ascii="Times New Roman" w:eastAsia="標楷體" w:hAnsi="標楷體" w:cs="Times New Roman" w:hint="eastAsia"/>
          <w:sz w:val="26"/>
          <w:szCs w:val="26"/>
        </w:rPr>
        <w:t>學校在</w:t>
      </w:r>
      <w:r w:rsidRPr="003F2545">
        <w:rPr>
          <w:rFonts w:ascii="Times New Roman" w:eastAsia="標楷體" w:hAnsi="標楷體" w:cs="Times New Roman" w:hint="eastAsia"/>
          <w:sz w:val="26"/>
          <w:szCs w:val="26"/>
        </w:rPr>
        <w:t>項目</w:t>
      </w:r>
      <w:r w:rsidR="00BB72A4" w:rsidRPr="003F2545">
        <w:rPr>
          <w:rFonts w:ascii="Times New Roman" w:eastAsia="標楷體" w:hAnsi="標楷體" w:cs="Times New Roman" w:hint="eastAsia"/>
          <w:sz w:val="26"/>
          <w:szCs w:val="26"/>
        </w:rPr>
        <w:t>上</w:t>
      </w:r>
      <w:r w:rsidR="00E14382" w:rsidRPr="003F2545">
        <w:rPr>
          <w:rFonts w:ascii="Times New Roman" w:eastAsia="標楷體" w:hAnsi="標楷體" w:cs="Times New Roman" w:hint="eastAsia"/>
          <w:sz w:val="26"/>
          <w:szCs w:val="26"/>
        </w:rPr>
        <w:t>通過核心</w:t>
      </w:r>
      <w:r w:rsidR="00860A8E" w:rsidRPr="003F2545">
        <w:rPr>
          <w:rFonts w:ascii="Times New Roman" w:eastAsia="標楷體" w:hAnsi="標楷體" w:cs="Times New Roman" w:hint="eastAsia"/>
          <w:sz w:val="26"/>
          <w:szCs w:val="26"/>
        </w:rPr>
        <w:t>指標的規範</w:t>
      </w:r>
      <w:r w:rsidRPr="003F2545">
        <w:rPr>
          <w:rFonts w:ascii="Times New Roman" w:eastAsia="標楷體" w:hAnsi="標楷體" w:cs="Times New Roman" w:hint="eastAsia"/>
          <w:sz w:val="26"/>
          <w:szCs w:val="26"/>
        </w:rPr>
        <w:t>就算通過認可，</w:t>
      </w:r>
      <w:r w:rsidR="00502FF0" w:rsidRPr="003F2545">
        <w:rPr>
          <w:rFonts w:ascii="Times New Roman" w:eastAsia="標楷體" w:hAnsi="標楷體" w:cs="Times New Roman" w:hint="eastAsia"/>
          <w:color w:val="000000" w:themeColor="text1"/>
          <w:sz w:val="26"/>
          <w:szCs w:val="26"/>
        </w:rPr>
        <w:t>基本的規範對於校務治理已趨成熟的學校來說並非難事，</w:t>
      </w:r>
      <w:r w:rsidR="00BB72A4" w:rsidRPr="003F2545">
        <w:rPr>
          <w:rFonts w:ascii="Times New Roman" w:eastAsia="標楷體" w:hAnsi="標楷體" w:cs="Times New Roman" w:hint="eastAsia"/>
          <w:sz w:val="26"/>
          <w:szCs w:val="26"/>
        </w:rPr>
        <w:t>因此</w:t>
      </w:r>
      <w:r w:rsidRPr="003F2545">
        <w:rPr>
          <w:rFonts w:ascii="Times New Roman" w:eastAsia="標楷體" w:hAnsi="標楷體" w:cs="Times New Roman" w:hint="eastAsia"/>
          <w:sz w:val="26"/>
          <w:szCs w:val="26"/>
        </w:rPr>
        <w:t>評鑑委</w:t>
      </w:r>
      <w:r w:rsidR="00BB72A4" w:rsidRPr="003F2545">
        <w:rPr>
          <w:rFonts w:ascii="Times New Roman" w:eastAsia="標楷體" w:hAnsi="標楷體" w:cs="Times New Roman" w:hint="eastAsia"/>
          <w:sz w:val="26"/>
          <w:szCs w:val="26"/>
        </w:rPr>
        <w:t>員</w:t>
      </w:r>
      <w:r w:rsidR="00722AFE" w:rsidRPr="003F2545">
        <w:rPr>
          <w:rFonts w:ascii="Times New Roman" w:eastAsia="標楷體" w:hAnsi="標楷體" w:cs="Times New Roman" w:hint="eastAsia"/>
          <w:sz w:val="26"/>
          <w:szCs w:val="26"/>
        </w:rPr>
        <w:t>雖</w:t>
      </w:r>
      <w:r w:rsidR="00BB72A4" w:rsidRPr="003F2545">
        <w:rPr>
          <w:rFonts w:ascii="Times New Roman" w:eastAsia="標楷體" w:hAnsi="標楷體" w:cs="Times New Roman" w:hint="eastAsia"/>
          <w:sz w:val="26"/>
          <w:szCs w:val="26"/>
        </w:rPr>
        <w:t>判定學校可通過</w:t>
      </w:r>
      <w:r w:rsidR="00860A8E" w:rsidRPr="003F2545">
        <w:rPr>
          <w:rFonts w:ascii="Times New Roman" w:eastAsia="標楷體" w:hAnsi="標楷體" w:cs="Times New Roman" w:hint="eastAsia"/>
          <w:sz w:val="26"/>
          <w:szCs w:val="26"/>
        </w:rPr>
        <w:t>門檻，但也期待學校仍需進一步</w:t>
      </w:r>
      <w:r w:rsidR="007F4D98" w:rsidRPr="003F2545">
        <w:rPr>
          <w:rFonts w:ascii="Times New Roman" w:eastAsia="標楷體" w:hAnsi="標楷體" w:cs="Times New Roman" w:hint="eastAsia"/>
          <w:sz w:val="26"/>
          <w:szCs w:val="26"/>
        </w:rPr>
        <w:t>精進以</w:t>
      </w:r>
      <w:r w:rsidR="00BB72A4" w:rsidRPr="003F2545">
        <w:rPr>
          <w:rFonts w:ascii="Times New Roman" w:eastAsia="標楷體" w:hAnsi="標楷體" w:cs="Times New Roman" w:hint="eastAsia"/>
          <w:sz w:val="26"/>
          <w:szCs w:val="26"/>
        </w:rPr>
        <w:t>提升成效，</w:t>
      </w:r>
      <w:r w:rsidR="00B61C33" w:rsidRPr="003F2545">
        <w:rPr>
          <w:rFonts w:ascii="Times New Roman" w:eastAsia="標楷體" w:hAnsi="標楷體" w:cs="Times New Roman" w:hint="eastAsia"/>
          <w:sz w:val="26"/>
          <w:szCs w:val="26"/>
        </w:rPr>
        <w:t>從</w:t>
      </w:r>
      <w:r w:rsidR="0061572F" w:rsidRPr="003F2545">
        <w:rPr>
          <w:rFonts w:ascii="Times New Roman" w:eastAsia="標楷體" w:hAnsi="標楷體" w:cs="Times New Roman" w:hint="eastAsia"/>
          <w:sz w:val="26"/>
          <w:szCs w:val="26"/>
        </w:rPr>
        <w:t>評鑑</w:t>
      </w:r>
      <w:r w:rsidR="00291FC7" w:rsidRPr="003F2545">
        <w:rPr>
          <w:rFonts w:ascii="Times New Roman" w:eastAsia="標楷體" w:hAnsi="標楷體" w:cs="Times New Roman" w:hint="eastAsia"/>
          <w:sz w:val="26"/>
          <w:szCs w:val="26"/>
        </w:rPr>
        <w:t>委員</w:t>
      </w:r>
      <w:r w:rsidR="0061572F" w:rsidRPr="003F2545">
        <w:rPr>
          <w:rFonts w:ascii="Times New Roman" w:eastAsia="標楷體" w:hAnsi="標楷體" w:cs="Times New Roman" w:hint="eastAsia"/>
          <w:sz w:val="26"/>
          <w:szCs w:val="26"/>
        </w:rPr>
        <w:t>提出</w:t>
      </w:r>
      <w:r w:rsidR="00291FC7" w:rsidRPr="003F2545">
        <w:rPr>
          <w:rFonts w:ascii="Times New Roman" w:eastAsia="標楷體" w:hAnsi="標楷體" w:cs="Times New Roman" w:hint="eastAsia"/>
          <w:sz w:val="26"/>
          <w:szCs w:val="26"/>
        </w:rPr>
        <w:t>的</w:t>
      </w:r>
      <w:r w:rsidR="00BB72A4" w:rsidRPr="003F2545">
        <w:rPr>
          <w:rFonts w:ascii="Times New Roman" w:eastAsia="標楷體" w:hAnsi="標楷體" w:cs="Times New Roman" w:hint="eastAsia"/>
          <w:sz w:val="26"/>
          <w:szCs w:val="26"/>
        </w:rPr>
        <w:t>待改善意見及未來發展建議</w:t>
      </w:r>
      <w:r w:rsidR="00B61C33" w:rsidRPr="003F2545">
        <w:rPr>
          <w:rFonts w:ascii="Times New Roman" w:eastAsia="標楷體" w:hAnsi="標楷體" w:cs="Times New Roman" w:hint="eastAsia"/>
          <w:sz w:val="26"/>
          <w:szCs w:val="26"/>
        </w:rPr>
        <w:t>可更精確反映出學校辦學現況與問題所在</w:t>
      </w:r>
      <w:r w:rsidR="00BB72A4" w:rsidRPr="003F2545">
        <w:rPr>
          <w:rFonts w:ascii="Times New Roman" w:eastAsia="標楷體" w:hAnsi="標楷體" w:cs="Times New Roman" w:hint="eastAsia"/>
          <w:sz w:val="26"/>
          <w:szCs w:val="26"/>
        </w:rPr>
        <w:t>。</w:t>
      </w:r>
      <w:r w:rsidR="00B61C33" w:rsidRPr="003F2545">
        <w:rPr>
          <w:rFonts w:ascii="Times New Roman" w:eastAsia="標楷體" w:hAnsi="標楷體" w:cs="Times New Roman" w:hint="eastAsia"/>
          <w:sz w:val="26"/>
          <w:szCs w:val="26"/>
        </w:rPr>
        <w:t>故建議</w:t>
      </w:r>
      <w:r w:rsidR="00D57152" w:rsidRPr="003F2545">
        <w:rPr>
          <w:rFonts w:ascii="Times New Roman" w:eastAsia="標楷體" w:hAnsi="標楷體" w:cs="Times New Roman" w:hint="eastAsia"/>
          <w:sz w:val="26"/>
          <w:szCs w:val="26"/>
        </w:rPr>
        <w:t>學校及</w:t>
      </w:r>
      <w:r w:rsidR="0061572F" w:rsidRPr="003F2545">
        <w:rPr>
          <w:rFonts w:ascii="Times New Roman" w:eastAsia="標楷體" w:hAnsi="標楷體" w:cs="Times New Roman" w:hint="eastAsia"/>
          <w:sz w:val="26"/>
          <w:szCs w:val="26"/>
        </w:rPr>
        <w:t>互動</w:t>
      </w:r>
      <w:r w:rsidR="00D57152" w:rsidRPr="003F2545">
        <w:rPr>
          <w:rFonts w:ascii="Times New Roman" w:eastAsia="標楷體" w:hAnsi="標楷體" w:cs="Times New Roman" w:hint="eastAsia"/>
          <w:sz w:val="26"/>
          <w:szCs w:val="26"/>
        </w:rPr>
        <w:t>關係人可參考高教評鑑中心網站，瀏覽評鑑報告</w:t>
      </w:r>
      <w:r w:rsidR="00B61C33" w:rsidRPr="003F2545">
        <w:rPr>
          <w:rFonts w:ascii="Times New Roman" w:eastAsia="標楷體" w:hAnsi="標楷體" w:cs="Times New Roman" w:hint="eastAsia"/>
          <w:sz w:val="26"/>
          <w:szCs w:val="26"/>
        </w:rPr>
        <w:t>內容</w:t>
      </w:r>
      <w:r w:rsidR="00D57152" w:rsidRPr="003F2545">
        <w:rPr>
          <w:rFonts w:ascii="Times New Roman" w:eastAsia="標楷體" w:hAnsi="標楷體" w:cs="Times New Roman" w:hint="eastAsia"/>
          <w:sz w:val="26"/>
          <w:szCs w:val="26"/>
        </w:rPr>
        <w:t>，以獲得較詳細的評鑑結果相關資訊。</w:t>
      </w:r>
    </w:p>
    <w:p w:rsidR="0013188D" w:rsidRPr="006B5270" w:rsidRDefault="006B5270" w:rsidP="00F66F8E">
      <w:pPr>
        <w:spacing w:before="100" w:beforeAutospacing="1" w:after="100" w:afterAutospacing="1" w:line="43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  <w:shd w:val="clear" w:color="auto" w:fill="FDFDFD"/>
        </w:rPr>
      </w:pPr>
      <w:r>
        <w:rPr>
          <w:rFonts w:ascii="Times New Roman" w:eastAsia="標楷體" w:hAnsi="標楷體" w:cs="Times New Roman"/>
          <w:b/>
          <w:color w:val="000000" w:themeColor="text1"/>
          <w:sz w:val="32"/>
          <w:szCs w:val="32"/>
          <w:u w:val="single"/>
          <w:shd w:val="clear" w:color="auto" w:fill="FDFDFD"/>
        </w:rPr>
        <w:t>◎</w:t>
      </w:r>
      <w:r w:rsidR="0013188D" w:rsidRPr="006B5270">
        <w:rPr>
          <w:rFonts w:ascii="Times New Roman" w:eastAsia="標楷體" w:hAnsi="標楷體" w:cs="Times New Roman"/>
          <w:b/>
          <w:color w:val="000000" w:themeColor="text1"/>
          <w:sz w:val="32"/>
          <w:szCs w:val="32"/>
          <w:u w:val="single"/>
          <w:shd w:val="clear" w:color="auto" w:fill="FDFDFD"/>
        </w:rPr>
        <w:t>通識教育暨第二週期系所評鑑追蹤評鑑與再評鑑</w:t>
      </w:r>
      <w:r w:rsidR="0013188D" w:rsidRPr="006B527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32"/>
          <w:u w:val="single"/>
          <w:shd w:val="clear" w:color="auto" w:fill="FDFDFD"/>
        </w:rPr>
        <w:t>結果</w:t>
      </w:r>
    </w:p>
    <w:p w:rsidR="00BE7009" w:rsidRPr="003F2545" w:rsidRDefault="009D7620" w:rsidP="00F66F8E">
      <w:pPr>
        <w:spacing w:line="420" w:lineRule="exact"/>
        <w:ind w:firstLineChars="200" w:firstLine="520"/>
        <w:jc w:val="both"/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</w:pPr>
      <w:r w:rsidRPr="003F2545">
        <w:rPr>
          <w:rFonts w:ascii="Times New Roman" w:eastAsia="標楷體" w:hAnsi="Times New Roman" w:cs="Times New Roman" w:hint="eastAsia"/>
          <w:sz w:val="26"/>
          <w:szCs w:val="26"/>
        </w:rPr>
        <w:t>有關</w:t>
      </w:r>
      <w:proofErr w:type="gramStart"/>
      <w:r w:rsidR="0061572F" w:rsidRPr="003F2545">
        <w:rPr>
          <w:rFonts w:ascii="Times New Roman" w:eastAsia="標楷體" w:hAnsi="Times New Roman" w:cs="Times New Roman" w:hint="eastAsia"/>
          <w:sz w:val="26"/>
          <w:szCs w:val="26"/>
        </w:rPr>
        <w:t>10</w:t>
      </w:r>
      <w:r w:rsidR="00187A6D" w:rsidRPr="003F2545">
        <w:rPr>
          <w:rFonts w:ascii="Times New Roman" w:eastAsia="標楷體" w:hAnsi="Times New Roman" w:cs="Times New Roman" w:hint="eastAsia"/>
          <w:sz w:val="26"/>
          <w:szCs w:val="26"/>
        </w:rPr>
        <w:t>5</w:t>
      </w:r>
      <w:proofErr w:type="gramEnd"/>
      <w:r w:rsidR="0061572F" w:rsidRPr="003F2545">
        <w:rPr>
          <w:rFonts w:ascii="Times New Roman" w:eastAsia="標楷體" w:hAnsi="Times New Roman" w:cs="Times New Roman" w:hint="eastAsia"/>
          <w:sz w:val="26"/>
          <w:szCs w:val="26"/>
        </w:rPr>
        <w:t>年度</w:t>
      </w:r>
      <w:r w:rsidR="00827877" w:rsidRPr="003F2545">
        <w:rPr>
          <w:rFonts w:ascii="Times New Roman" w:eastAsia="標楷體" w:hAnsi="Times New Roman" w:cs="Times New Roman" w:hint="eastAsia"/>
          <w:sz w:val="26"/>
          <w:szCs w:val="26"/>
        </w:rPr>
        <w:t>下</w:t>
      </w:r>
      <w:r w:rsidR="0061572F" w:rsidRPr="003F2545">
        <w:rPr>
          <w:rFonts w:ascii="Times New Roman" w:eastAsia="標楷體" w:hAnsi="Times New Roman" w:cs="Times New Roman" w:hint="eastAsia"/>
          <w:sz w:val="26"/>
          <w:szCs w:val="26"/>
        </w:rPr>
        <w:t>半年</w:t>
      </w:r>
      <w:r w:rsidRPr="003F2545">
        <w:rPr>
          <w:rFonts w:ascii="Times New Roman" w:eastAsia="標楷體" w:hAnsi="Times New Roman" w:cs="Times New Roman" w:hint="eastAsia"/>
          <w:sz w:val="26"/>
          <w:szCs w:val="26"/>
        </w:rPr>
        <w:t>通識教育</w:t>
      </w:r>
      <w:r w:rsidR="00510438" w:rsidRPr="003F2545">
        <w:rPr>
          <w:rFonts w:ascii="Times New Roman" w:eastAsia="標楷體" w:hAnsi="Times New Roman" w:cs="Times New Roman" w:hint="eastAsia"/>
          <w:sz w:val="26"/>
          <w:szCs w:val="26"/>
        </w:rPr>
        <w:t>追蹤</w:t>
      </w:r>
      <w:r w:rsidRPr="003F2545">
        <w:rPr>
          <w:rFonts w:ascii="Times New Roman" w:eastAsia="標楷體" w:hAnsi="Times New Roman" w:cs="Times New Roman" w:hint="eastAsia"/>
          <w:sz w:val="26"/>
          <w:szCs w:val="26"/>
        </w:rPr>
        <w:t>評鑑</w:t>
      </w:r>
      <w:r w:rsidR="0061572F" w:rsidRPr="003F2545">
        <w:rPr>
          <w:rFonts w:ascii="Times New Roman" w:eastAsia="標楷體" w:hAnsi="Times New Roman" w:cs="Times New Roman" w:hint="eastAsia"/>
          <w:sz w:val="26"/>
          <w:szCs w:val="26"/>
        </w:rPr>
        <w:t>與再評鑑</w:t>
      </w:r>
      <w:r w:rsidRPr="003F2545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A52561" w:rsidRPr="003F2545">
        <w:rPr>
          <w:rFonts w:ascii="Times New Roman" w:eastAsia="標楷體" w:hAnsi="Times New Roman" w:cs="Times New Roman" w:hint="eastAsia"/>
          <w:sz w:val="26"/>
          <w:szCs w:val="26"/>
        </w:rPr>
        <w:t>共有</w:t>
      </w:r>
      <w:r w:rsidR="00A52561" w:rsidRPr="003F2545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="00A52561" w:rsidRPr="003F2545">
        <w:rPr>
          <w:rFonts w:ascii="Times New Roman" w:eastAsia="標楷體" w:hAnsi="Times New Roman" w:cs="Times New Roman" w:hint="eastAsia"/>
          <w:sz w:val="26"/>
          <w:szCs w:val="26"/>
        </w:rPr>
        <w:t>校受評，其中</w:t>
      </w:r>
      <w:r w:rsidR="00827877" w:rsidRPr="003F2545">
        <w:rPr>
          <w:rFonts w:ascii="Times New Roman" w:eastAsia="標楷體" w:hAnsi="Times New Roman" w:cs="Times New Roman" w:hint="eastAsia"/>
          <w:sz w:val="26"/>
          <w:szCs w:val="26"/>
        </w:rPr>
        <w:t>國立</w:t>
      </w:r>
      <w:r w:rsidR="00187A6D" w:rsidRPr="003F2545">
        <w:rPr>
          <w:rFonts w:ascii="Times New Roman" w:eastAsia="標楷體" w:hAnsi="Times New Roman" w:cs="Times New Roman" w:hint="eastAsia"/>
          <w:sz w:val="26"/>
          <w:szCs w:val="26"/>
        </w:rPr>
        <w:t>空中大學</w:t>
      </w:r>
      <w:r w:rsidR="00510438" w:rsidRPr="003F2545">
        <w:rPr>
          <w:rFonts w:ascii="Times New Roman" w:eastAsia="標楷體" w:hAnsi="Times New Roman" w:cs="Times New Roman" w:hint="eastAsia"/>
          <w:sz w:val="26"/>
          <w:szCs w:val="26"/>
        </w:rPr>
        <w:t>為「通過」</w:t>
      </w:r>
      <w:r w:rsidR="00A52561" w:rsidRPr="003F2545">
        <w:rPr>
          <w:rFonts w:ascii="Times New Roman" w:eastAsia="標楷體" w:hAnsi="Times New Roman" w:cs="Times New Roman" w:hint="eastAsia"/>
          <w:sz w:val="26"/>
          <w:szCs w:val="26"/>
        </w:rPr>
        <w:t>、康寧大學則為「未通過」</w:t>
      </w:r>
      <w:r w:rsidR="00187A6D" w:rsidRPr="003F2545">
        <w:rPr>
          <w:rFonts w:ascii="Times New Roman" w:eastAsia="標楷體" w:hAnsi="Times New Roman" w:cs="Times New Roman" w:hint="eastAsia"/>
          <w:sz w:val="26"/>
          <w:szCs w:val="26"/>
        </w:rPr>
        <w:t>；</w:t>
      </w:r>
      <w:r w:rsidRPr="003F2545">
        <w:rPr>
          <w:rFonts w:ascii="Times New Roman" w:eastAsia="標楷體" w:hAnsi="Times New Roman" w:cs="Times New Roman" w:hint="eastAsia"/>
          <w:sz w:val="26"/>
          <w:szCs w:val="26"/>
        </w:rPr>
        <w:t>在</w:t>
      </w:r>
      <w:proofErr w:type="gramStart"/>
      <w:r w:rsidR="0061572F" w:rsidRPr="003F2545">
        <w:rPr>
          <w:rFonts w:ascii="Times New Roman" w:eastAsia="標楷體" w:hAnsi="Times New Roman" w:cs="Times New Roman" w:hint="eastAsia"/>
          <w:sz w:val="26"/>
          <w:szCs w:val="26"/>
        </w:rPr>
        <w:t>10</w:t>
      </w:r>
      <w:r w:rsidR="00187A6D" w:rsidRPr="003F2545">
        <w:rPr>
          <w:rFonts w:ascii="Times New Roman" w:eastAsia="標楷體" w:hAnsi="Times New Roman" w:cs="Times New Roman" w:hint="eastAsia"/>
          <w:sz w:val="26"/>
          <w:szCs w:val="26"/>
        </w:rPr>
        <w:t>5</w:t>
      </w:r>
      <w:proofErr w:type="gramEnd"/>
      <w:r w:rsidR="00187A6D" w:rsidRPr="003F2545">
        <w:rPr>
          <w:rFonts w:ascii="Times New Roman" w:eastAsia="標楷體" w:hAnsi="Times New Roman" w:cs="Times New Roman" w:hint="eastAsia"/>
          <w:sz w:val="26"/>
          <w:szCs w:val="26"/>
        </w:rPr>
        <w:t>年度</w:t>
      </w:r>
      <w:proofErr w:type="gramStart"/>
      <w:r w:rsidR="00827877" w:rsidRPr="003F2545">
        <w:rPr>
          <w:rFonts w:ascii="Times New Roman" w:eastAsia="標楷體" w:hAnsi="Times New Roman" w:cs="Times New Roman" w:hint="eastAsia"/>
          <w:sz w:val="26"/>
          <w:szCs w:val="26"/>
        </w:rPr>
        <w:t>下</w:t>
      </w:r>
      <w:r w:rsidR="0061572F" w:rsidRPr="003F2545">
        <w:rPr>
          <w:rFonts w:ascii="Times New Roman" w:eastAsia="標楷體" w:hAnsi="Times New Roman" w:cs="Times New Roman" w:hint="eastAsia"/>
          <w:sz w:val="26"/>
          <w:szCs w:val="26"/>
        </w:rPr>
        <w:t>半年</w:t>
      </w:r>
      <w:r w:rsidRPr="003F2545">
        <w:rPr>
          <w:rFonts w:ascii="Times New Roman" w:eastAsia="標楷體" w:hAnsi="Times New Roman" w:cs="Times New Roman" w:hint="eastAsia"/>
          <w:sz w:val="26"/>
          <w:szCs w:val="26"/>
        </w:rPr>
        <w:t>系</w:t>
      </w:r>
      <w:proofErr w:type="gramEnd"/>
      <w:r w:rsidRPr="003F2545">
        <w:rPr>
          <w:rFonts w:ascii="Times New Roman" w:eastAsia="標楷體" w:hAnsi="Times New Roman" w:cs="Times New Roman" w:hint="eastAsia"/>
          <w:sz w:val="26"/>
          <w:szCs w:val="26"/>
        </w:rPr>
        <w:t>所追蹤評鑑</w:t>
      </w:r>
      <w:r w:rsidR="0061572F" w:rsidRPr="003F2545">
        <w:rPr>
          <w:rFonts w:ascii="Times New Roman" w:eastAsia="標楷體" w:hAnsi="Times New Roman" w:cs="Times New Roman" w:hint="eastAsia"/>
          <w:sz w:val="26"/>
          <w:szCs w:val="26"/>
        </w:rPr>
        <w:t>部分</w:t>
      </w:r>
      <w:r w:rsidRPr="003F2545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827877" w:rsidRPr="003F2545">
        <w:rPr>
          <w:rFonts w:ascii="Times New Roman" w:eastAsia="標楷體" w:hAnsi="Times New Roman" w:cs="Times New Roman" w:hint="eastAsia"/>
          <w:sz w:val="26"/>
          <w:szCs w:val="26"/>
        </w:rPr>
        <w:t>共有真理大學、國立金門大學、康寧大學及臺北市立大學</w:t>
      </w:r>
      <w:r w:rsidR="00827877" w:rsidRPr="003F2545">
        <w:rPr>
          <w:rFonts w:ascii="Times New Roman" w:eastAsia="標楷體" w:hAnsi="Times New Roman" w:cs="Times New Roman" w:hint="eastAsia"/>
          <w:sz w:val="26"/>
          <w:szCs w:val="26"/>
        </w:rPr>
        <w:t>4</w:t>
      </w:r>
      <w:r w:rsidR="00827877" w:rsidRPr="003F2545">
        <w:rPr>
          <w:rFonts w:ascii="Times New Roman" w:eastAsia="標楷體" w:hAnsi="Times New Roman" w:cs="Times New Roman" w:hint="eastAsia"/>
          <w:sz w:val="26"/>
          <w:szCs w:val="26"/>
        </w:rPr>
        <w:t>校</w:t>
      </w:r>
      <w:r w:rsidR="00827877" w:rsidRPr="003F2545">
        <w:rPr>
          <w:rFonts w:ascii="Times New Roman" w:eastAsia="標楷體" w:hAnsi="標楷體" w:cs="Times New Roman" w:hint="eastAsia"/>
          <w:sz w:val="26"/>
          <w:szCs w:val="26"/>
        </w:rPr>
        <w:t>7</w:t>
      </w:r>
      <w:r w:rsidR="0074690D" w:rsidRPr="003F2545">
        <w:rPr>
          <w:rFonts w:ascii="Times New Roman" w:eastAsia="標楷體" w:hAnsi="標楷體" w:cs="Times New Roman" w:hint="eastAsia"/>
          <w:sz w:val="26"/>
          <w:szCs w:val="26"/>
        </w:rPr>
        <w:t>個</w:t>
      </w:r>
      <w:proofErr w:type="gramStart"/>
      <w:r w:rsidR="0074690D" w:rsidRPr="003F2545">
        <w:rPr>
          <w:rFonts w:ascii="Times New Roman" w:eastAsia="標楷體" w:hAnsi="標楷體" w:cs="Times New Roman" w:hint="eastAsia"/>
          <w:sz w:val="26"/>
          <w:szCs w:val="26"/>
        </w:rPr>
        <w:t>班制受評</w:t>
      </w:r>
      <w:proofErr w:type="gramEnd"/>
      <w:r w:rsidR="0074690D" w:rsidRPr="003F2545">
        <w:rPr>
          <w:rFonts w:ascii="Times New Roman" w:eastAsia="標楷體" w:hAnsi="標楷體" w:cs="Times New Roman" w:hint="eastAsia"/>
          <w:sz w:val="26"/>
          <w:szCs w:val="26"/>
        </w:rPr>
        <w:t>，其中</w:t>
      </w:r>
      <w:r w:rsidR="00A52561" w:rsidRPr="003F2545">
        <w:rPr>
          <w:rFonts w:ascii="Times New Roman" w:eastAsia="標楷體" w:hAnsi="標楷體" w:cs="Times New Roman" w:hint="eastAsia"/>
          <w:sz w:val="26"/>
          <w:szCs w:val="26"/>
        </w:rPr>
        <w:t>4</w:t>
      </w:r>
      <w:r w:rsidR="0074690D" w:rsidRPr="003F2545">
        <w:rPr>
          <w:rFonts w:ascii="Times New Roman" w:eastAsia="標楷體" w:hAnsi="標楷體" w:cs="Times New Roman" w:hint="eastAsia"/>
          <w:sz w:val="26"/>
          <w:szCs w:val="26"/>
        </w:rPr>
        <w:t>個班制</w:t>
      </w:r>
      <w:r w:rsidR="0074690D" w:rsidRPr="003F2545">
        <w:rPr>
          <w:rFonts w:ascii="Times New Roman" w:eastAsia="標楷體" w:hAnsi="Times New Roman" w:cs="Times New Roman" w:hint="eastAsia"/>
          <w:sz w:val="26"/>
          <w:szCs w:val="26"/>
        </w:rPr>
        <w:t>「通過」，</w:t>
      </w:r>
      <w:r w:rsidR="00A52561" w:rsidRPr="003F2545">
        <w:rPr>
          <w:rFonts w:ascii="Times New Roman" w:eastAsia="標楷體" w:hAnsi="Times New Roman" w:cs="Times New Roman" w:hint="eastAsia"/>
          <w:sz w:val="26"/>
          <w:szCs w:val="26"/>
        </w:rPr>
        <w:t>然康寧大學</w:t>
      </w:r>
      <w:r w:rsidR="0074690D" w:rsidRPr="003F2545">
        <w:rPr>
          <w:rFonts w:ascii="Times New Roman" w:eastAsia="標楷體" w:hAnsi="Times New Roman" w:cs="Times New Roman" w:hint="eastAsia"/>
          <w:sz w:val="26"/>
          <w:szCs w:val="26"/>
        </w:rPr>
        <w:t>「</w:t>
      </w:r>
      <w:r w:rsidR="00A52561" w:rsidRPr="003F2545">
        <w:rPr>
          <w:rFonts w:ascii="Times New Roman" w:eastAsia="標楷體" w:hAnsi="Times New Roman" w:cs="Times New Roman"/>
          <w:sz w:val="26"/>
          <w:szCs w:val="26"/>
        </w:rPr>
        <w:t>餐飲管理學系</w:t>
      </w:r>
      <w:r w:rsidR="00A52561" w:rsidRPr="003F2545">
        <w:rPr>
          <w:rFonts w:ascii="Times New Roman" w:eastAsia="標楷體" w:hAnsi="Times New Roman" w:cs="Times New Roman" w:hint="eastAsia"/>
          <w:sz w:val="26"/>
          <w:szCs w:val="26"/>
        </w:rPr>
        <w:t>（進修學士班）</w:t>
      </w:r>
      <w:r w:rsidR="0074690D" w:rsidRPr="003F2545">
        <w:rPr>
          <w:rFonts w:ascii="Times New Roman" w:eastAsia="標楷體" w:hAnsi="Times New Roman" w:cs="Times New Roman" w:hint="eastAsia"/>
          <w:sz w:val="26"/>
          <w:szCs w:val="26"/>
        </w:rPr>
        <w:t>」</w:t>
      </w:r>
      <w:r w:rsidR="00A52561" w:rsidRPr="003F2545">
        <w:rPr>
          <w:rFonts w:ascii="Times New Roman" w:eastAsia="標楷體" w:hAnsi="Times New Roman" w:cs="Times New Roman" w:hint="eastAsia"/>
          <w:sz w:val="26"/>
          <w:szCs w:val="26"/>
        </w:rPr>
        <w:t>、「</w:t>
      </w:r>
      <w:r w:rsidR="00A52561" w:rsidRPr="003F2545">
        <w:rPr>
          <w:rFonts w:ascii="Times New Roman" w:eastAsia="標楷體" w:hAnsi="Times New Roman" w:cs="Times New Roman"/>
          <w:sz w:val="26"/>
          <w:szCs w:val="26"/>
        </w:rPr>
        <w:t>應用外語學系</w:t>
      </w:r>
      <w:r w:rsidR="00A52561" w:rsidRPr="003F2545">
        <w:rPr>
          <w:rFonts w:ascii="Times New Roman" w:eastAsia="標楷體" w:hAnsi="Times New Roman" w:cs="Times New Roman" w:hint="eastAsia"/>
          <w:sz w:val="26"/>
          <w:szCs w:val="26"/>
        </w:rPr>
        <w:t>（進修學士班）」及臺北市立大學「</w:t>
      </w:r>
      <w:r w:rsidR="00A52561" w:rsidRPr="003F2545">
        <w:rPr>
          <w:rFonts w:ascii="Times New Roman" w:eastAsia="標楷體" w:hAnsi="Times New Roman" w:cs="Times New Roman"/>
          <w:sz w:val="26"/>
          <w:szCs w:val="26"/>
        </w:rPr>
        <w:t>身心障礙者</w:t>
      </w:r>
      <w:proofErr w:type="gramStart"/>
      <w:r w:rsidR="00A52561" w:rsidRPr="003F2545">
        <w:rPr>
          <w:rFonts w:ascii="Times New Roman" w:eastAsia="標楷體" w:hAnsi="Times New Roman" w:cs="Times New Roman"/>
          <w:sz w:val="26"/>
          <w:szCs w:val="26"/>
        </w:rPr>
        <w:t>轉銜及休閒</w:t>
      </w:r>
      <w:proofErr w:type="gramEnd"/>
      <w:r w:rsidR="00A52561" w:rsidRPr="003F2545">
        <w:rPr>
          <w:rFonts w:ascii="Times New Roman" w:eastAsia="標楷體" w:hAnsi="Times New Roman" w:cs="Times New Roman"/>
          <w:sz w:val="26"/>
          <w:szCs w:val="26"/>
        </w:rPr>
        <w:t>教育碩士學位學程</w:t>
      </w:r>
      <w:r w:rsidR="00A52561" w:rsidRPr="003F2545">
        <w:rPr>
          <w:rFonts w:ascii="Times New Roman" w:eastAsia="標楷體" w:hAnsi="Times New Roman" w:cs="Times New Roman" w:hint="eastAsia"/>
          <w:sz w:val="26"/>
          <w:szCs w:val="26"/>
        </w:rPr>
        <w:t>（碩士班）」</w:t>
      </w:r>
      <w:r w:rsidR="0074690D" w:rsidRPr="003F2545">
        <w:rPr>
          <w:rFonts w:ascii="Times New Roman" w:eastAsia="標楷體" w:hAnsi="Times New Roman" w:cs="Times New Roman" w:hint="eastAsia"/>
          <w:sz w:val="26"/>
          <w:szCs w:val="26"/>
        </w:rPr>
        <w:t>則仍為「有條件通過」，代表追蹤改善的情形仍未達到評鑑委員的預期。</w:t>
      </w:r>
      <w:r w:rsidR="00BE7009" w:rsidRPr="003F2545">
        <w:rPr>
          <w:rFonts w:ascii="Times New Roman" w:eastAsia="標楷體" w:hAnsi="Times New Roman" w:cs="Times New Roman" w:hint="eastAsia"/>
          <w:sz w:val="26"/>
          <w:szCs w:val="26"/>
        </w:rPr>
        <w:t>通識教育追蹤評鑑未獲通</w:t>
      </w:r>
      <w:r w:rsidR="00BE7009" w:rsidRPr="003F2545"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過之原因</w:t>
      </w:r>
      <w:r w:rsidR="006874F7" w:rsidRPr="003F2545">
        <w:rPr>
          <w:rFonts w:ascii="Times New Roman" w:eastAsia="標楷體" w:hAnsi="Times New Roman" w:cs="Times New Roman" w:hint="eastAsia"/>
          <w:sz w:val="26"/>
          <w:szCs w:val="26"/>
        </w:rPr>
        <w:t>為</w:t>
      </w:r>
      <w:r w:rsidR="00BE7009" w:rsidRPr="003F2545">
        <w:rPr>
          <w:rFonts w:ascii="Times New Roman" w:eastAsia="標楷體" w:hAnsi="Times New Roman" w:cs="Times New Roman" w:hint="eastAsia"/>
          <w:sz w:val="26"/>
          <w:szCs w:val="26"/>
        </w:rPr>
        <w:t>，未能編列充足經費給專責單位，通識教育之推展受到限制，同時</w:t>
      </w:r>
      <w:r w:rsidR="008246A1" w:rsidRPr="003F2545">
        <w:rPr>
          <w:rFonts w:ascii="Times New Roman" w:eastAsia="標楷體" w:hAnsi="Times New Roman" w:cs="Times New Roman" w:hint="eastAsia"/>
          <w:sz w:val="26"/>
          <w:szCs w:val="26"/>
        </w:rPr>
        <w:t>校方亦未能掌握師生對於通識教育的意見，因此未能對通識教育改善進行評估與分析。在系所評鑑追蹤評鑑的部分，獲得有條件通過的原因</w:t>
      </w:r>
      <w:r w:rsidR="006874F7" w:rsidRPr="003F2545">
        <w:rPr>
          <w:rFonts w:ascii="Times New Roman" w:eastAsia="標楷體" w:hAnsi="Times New Roman" w:cs="Times New Roman" w:hint="eastAsia"/>
          <w:sz w:val="26"/>
          <w:szCs w:val="26"/>
        </w:rPr>
        <w:t>包括</w:t>
      </w:r>
      <w:r w:rsidR="008246A1" w:rsidRPr="003F2545">
        <w:rPr>
          <w:rFonts w:ascii="Times New Roman" w:eastAsia="標楷體" w:hAnsi="Times New Roman" w:cs="Times New Roman" w:hint="eastAsia"/>
          <w:sz w:val="26"/>
          <w:szCs w:val="26"/>
        </w:rPr>
        <w:t>，專長領域師資不足，教師</w:t>
      </w:r>
      <w:r w:rsidR="006874F7" w:rsidRPr="003F2545">
        <w:rPr>
          <w:rFonts w:ascii="Times New Roman" w:eastAsia="標楷體" w:hAnsi="Times New Roman" w:cs="Times New Roman" w:hint="eastAsia"/>
          <w:sz w:val="26"/>
          <w:szCs w:val="26"/>
        </w:rPr>
        <w:t>的研究成果有待提升</w:t>
      </w:r>
      <w:r w:rsidR="008246A1" w:rsidRPr="003F2545">
        <w:rPr>
          <w:rFonts w:ascii="Times New Roman" w:eastAsia="標楷體" w:hAnsi="Times New Roman" w:cs="Times New Roman" w:hint="eastAsia"/>
          <w:sz w:val="26"/>
          <w:szCs w:val="26"/>
        </w:rPr>
        <w:t>，而且未能依照</w:t>
      </w:r>
      <w:proofErr w:type="gramStart"/>
      <w:r w:rsidR="008246A1" w:rsidRPr="003F2545">
        <w:rPr>
          <w:rFonts w:ascii="Times New Roman" w:eastAsia="標楷體" w:hAnsi="Times New Roman" w:cs="Times New Roman" w:hint="eastAsia"/>
          <w:sz w:val="26"/>
          <w:szCs w:val="26"/>
        </w:rPr>
        <w:t>不</w:t>
      </w:r>
      <w:proofErr w:type="gramEnd"/>
      <w:r w:rsidR="008246A1" w:rsidRPr="003F2545">
        <w:rPr>
          <w:rFonts w:ascii="Times New Roman" w:eastAsia="標楷體" w:hAnsi="Times New Roman" w:cs="Times New Roman" w:hint="eastAsia"/>
          <w:sz w:val="26"/>
          <w:szCs w:val="26"/>
        </w:rPr>
        <w:t>同班制之教育目標，修正相對應之核心能力指標，</w:t>
      </w:r>
      <w:r w:rsidR="001E513A" w:rsidRPr="003F2545">
        <w:rPr>
          <w:rFonts w:ascii="Times New Roman" w:eastAsia="標楷體" w:hAnsi="Times New Roman" w:cs="Times New Roman" w:hint="eastAsia"/>
          <w:sz w:val="26"/>
          <w:szCs w:val="26"/>
        </w:rPr>
        <w:t>同時</w:t>
      </w:r>
      <w:r w:rsidR="00624DA4" w:rsidRPr="003F2545">
        <w:rPr>
          <w:rFonts w:ascii="Times New Roman" w:eastAsia="標楷體" w:hAnsi="Times New Roman" w:cs="Times New Roman" w:hint="eastAsia"/>
          <w:sz w:val="26"/>
          <w:szCs w:val="26"/>
        </w:rPr>
        <w:t>系所應該呈現的經費、資源分配資料與會議紀錄付之闕如。</w:t>
      </w:r>
    </w:p>
    <w:p w:rsidR="0013188D" w:rsidRPr="003F2545" w:rsidRDefault="00B50DBE" w:rsidP="00F66F8E">
      <w:pPr>
        <w:spacing w:line="420" w:lineRule="exact"/>
        <w:ind w:firstLineChars="200" w:firstLine="520"/>
        <w:jc w:val="both"/>
        <w:rPr>
          <w:rFonts w:ascii="Times New Roman" w:eastAsia="標楷體" w:hAnsi="標楷體" w:cs="Times New Roman"/>
          <w:szCs w:val="24"/>
          <w:shd w:val="clear" w:color="auto" w:fill="FDFDFD"/>
        </w:rPr>
      </w:pPr>
      <w:r w:rsidRPr="003F2545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有關</w:t>
      </w:r>
      <w:proofErr w:type="gramStart"/>
      <w:r w:rsidR="0013188D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10</w:t>
      </w:r>
      <w:r w:rsidR="0074690D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5</w:t>
      </w:r>
      <w:proofErr w:type="gramEnd"/>
      <w:r w:rsidR="0013188D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年</w:t>
      </w:r>
      <w:r w:rsidR="0061572F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度</w:t>
      </w:r>
      <w:r w:rsidR="00A52561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下</w:t>
      </w:r>
      <w:r w:rsidR="0013188D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半年通識教育暨第二週期系所</w:t>
      </w:r>
      <w:bookmarkStart w:id="0" w:name="_GoBack"/>
      <w:bookmarkEnd w:id="0"/>
      <w:r w:rsidR="0013188D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評鑑追蹤評鑑與再評鑑</w:t>
      </w:r>
      <w:r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整體</w:t>
      </w:r>
      <w:r w:rsidR="0013188D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結果如表</w:t>
      </w:r>
      <w:r w:rsidR="002A476D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2</w:t>
      </w:r>
      <w:r w:rsidR="0013188D" w:rsidRPr="003F254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：</w:t>
      </w:r>
    </w:p>
    <w:p w:rsidR="0013188D" w:rsidRPr="003F2545" w:rsidRDefault="0013188D" w:rsidP="00F66F8E">
      <w:pPr>
        <w:spacing w:line="430" w:lineRule="exact"/>
        <w:rPr>
          <w:rFonts w:ascii="Times New Roman" w:eastAsia="標楷體" w:hAnsi="標楷體" w:cs="Times New Roman"/>
          <w:szCs w:val="24"/>
          <w:shd w:val="clear" w:color="auto" w:fill="FDFDFD"/>
        </w:rPr>
      </w:pPr>
      <w:r w:rsidRPr="003F2545">
        <w:rPr>
          <w:rFonts w:ascii="Times New Roman" w:eastAsia="標楷體" w:hAnsi="標楷體" w:cs="Times New Roman" w:hint="eastAsia"/>
          <w:szCs w:val="24"/>
          <w:shd w:val="clear" w:color="auto" w:fill="FDFDFD"/>
        </w:rPr>
        <w:t>表</w:t>
      </w:r>
      <w:r w:rsidR="002A476D" w:rsidRPr="003F2545">
        <w:rPr>
          <w:rFonts w:ascii="Times New Roman" w:eastAsia="標楷體" w:hAnsi="標楷體" w:cs="Times New Roman" w:hint="eastAsia"/>
          <w:szCs w:val="24"/>
          <w:shd w:val="clear" w:color="auto" w:fill="FDFDFD"/>
        </w:rPr>
        <w:t>2</w:t>
      </w:r>
      <w:r w:rsidRPr="003F2545">
        <w:rPr>
          <w:rFonts w:ascii="Times New Roman" w:eastAsia="標楷體" w:hAnsi="標楷體" w:cs="Times New Roman" w:hint="eastAsia"/>
          <w:szCs w:val="24"/>
          <w:shd w:val="clear" w:color="auto" w:fill="FDFDFD"/>
        </w:rPr>
        <w:t>、</w:t>
      </w:r>
      <w:r w:rsidRPr="003F2545">
        <w:rPr>
          <w:rFonts w:ascii="Times New Roman" w:eastAsia="標楷體" w:hAnsi="標楷體" w:cs="Times New Roman" w:hint="eastAsia"/>
          <w:szCs w:val="24"/>
          <w:shd w:val="clear" w:color="auto" w:fill="FDFDFD"/>
        </w:rPr>
        <w:t>10</w:t>
      </w:r>
      <w:r w:rsidR="0074690D" w:rsidRPr="003F2545">
        <w:rPr>
          <w:rFonts w:ascii="Times New Roman" w:eastAsia="標楷體" w:hAnsi="標楷體" w:cs="Times New Roman" w:hint="eastAsia"/>
          <w:szCs w:val="24"/>
          <w:shd w:val="clear" w:color="auto" w:fill="FDFDFD"/>
        </w:rPr>
        <w:t>5</w:t>
      </w:r>
      <w:r w:rsidR="0074690D" w:rsidRPr="003F2545">
        <w:rPr>
          <w:rFonts w:ascii="Times New Roman" w:eastAsia="標楷體" w:hAnsi="標楷體" w:cs="Times New Roman" w:hint="eastAsia"/>
          <w:szCs w:val="24"/>
          <w:shd w:val="clear" w:color="auto" w:fill="FDFDFD"/>
        </w:rPr>
        <w:t>年</w:t>
      </w:r>
      <w:r w:rsidR="00A52561" w:rsidRPr="003F2545">
        <w:rPr>
          <w:rFonts w:ascii="Times New Roman" w:eastAsia="標楷體" w:hAnsi="標楷體" w:cs="Times New Roman" w:hint="eastAsia"/>
          <w:szCs w:val="24"/>
          <w:shd w:val="clear" w:color="auto" w:fill="FDFDFD"/>
        </w:rPr>
        <w:t>下</w:t>
      </w:r>
      <w:r w:rsidRPr="003F2545">
        <w:rPr>
          <w:rFonts w:ascii="Times New Roman" w:eastAsia="標楷體" w:hAnsi="標楷體" w:cs="Times New Roman" w:hint="eastAsia"/>
          <w:szCs w:val="24"/>
          <w:shd w:val="clear" w:color="auto" w:fill="FDFDFD"/>
        </w:rPr>
        <w:t>半年通識教育暨第二週期系所評鑑追蹤評鑑與再評鑑結果統計</w:t>
      </w:r>
    </w:p>
    <w:tbl>
      <w:tblPr>
        <w:tblStyle w:val="a3"/>
        <w:tblW w:w="8364" w:type="dxa"/>
        <w:tblInd w:w="108" w:type="dxa"/>
        <w:tblLook w:val="04A0"/>
      </w:tblPr>
      <w:tblGrid>
        <w:gridCol w:w="1560"/>
        <w:gridCol w:w="1842"/>
        <w:gridCol w:w="1843"/>
        <w:gridCol w:w="1843"/>
        <w:gridCol w:w="1276"/>
      </w:tblGrid>
      <w:tr w:rsidR="00041A28" w:rsidRPr="003F2545" w:rsidTr="00041A28">
        <w:trPr>
          <w:trHeight w:val="531"/>
        </w:trPr>
        <w:tc>
          <w:tcPr>
            <w:tcW w:w="1560" w:type="dxa"/>
            <w:vAlign w:val="center"/>
          </w:tcPr>
          <w:p w:rsidR="00041A28" w:rsidRPr="003F2545" w:rsidRDefault="00041A28" w:rsidP="00F66F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</w:p>
        </w:tc>
        <w:tc>
          <w:tcPr>
            <w:tcW w:w="1842" w:type="dxa"/>
            <w:vAlign w:val="center"/>
          </w:tcPr>
          <w:p w:rsidR="00041A28" w:rsidRPr="003F2545" w:rsidRDefault="00041A28" w:rsidP="00F66F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  <w:r w:rsidRPr="003F2545">
              <w:rPr>
                <w:rFonts w:ascii="Times New Roman" w:eastAsia="標楷體" w:hAnsi="Times New Roman" w:cs="Times New Roman" w:hint="eastAsia"/>
                <w:szCs w:val="24"/>
                <w:shd w:val="clear" w:color="auto" w:fill="FDFDFD"/>
              </w:rPr>
              <w:t>通過</w:t>
            </w:r>
          </w:p>
        </w:tc>
        <w:tc>
          <w:tcPr>
            <w:tcW w:w="1843" w:type="dxa"/>
            <w:vAlign w:val="center"/>
          </w:tcPr>
          <w:p w:rsidR="00041A28" w:rsidRPr="003F2545" w:rsidRDefault="00041A28" w:rsidP="00F66F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  <w:r w:rsidRPr="003F2545">
              <w:rPr>
                <w:rFonts w:ascii="Times New Roman" w:eastAsia="標楷體" w:hAnsi="Times New Roman" w:cs="Times New Roman" w:hint="eastAsia"/>
                <w:szCs w:val="24"/>
                <w:shd w:val="clear" w:color="auto" w:fill="FDFDFD"/>
              </w:rPr>
              <w:t>有條件通過</w:t>
            </w:r>
          </w:p>
        </w:tc>
        <w:tc>
          <w:tcPr>
            <w:tcW w:w="1843" w:type="dxa"/>
            <w:vAlign w:val="center"/>
          </w:tcPr>
          <w:p w:rsidR="00041A28" w:rsidRPr="003F2545" w:rsidRDefault="00041A28" w:rsidP="00F66F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  <w:r w:rsidRPr="003F2545">
              <w:rPr>
                <w:rFonts w:ascii="Times New Roman" w:eastAsia="標楷體" w:hAnsi="Times New Roman" w:cs="Times New Roman" w:hint="eastAsia"/>
                <w:szCs w:val="24"/>
                <w:shd w:val="clear" w:color="auto" w:fill="FDFDFD"/>
              </w:rPr>
              <w:t>未通過</w:t>
            </w:r>
          </w:p>
        </w:tc>
        <w:tc>
          <w:tcPr>
            <w:tcW w:w="1276" w:type="dxa"/>
            <w:vAlign w:val="center"/>
          </w:tcPr>
          <w:p w:rsidR="00041A28" w:rsidRPr="003F2545" w:rsidRDefault="00041A28" w:rsidP="00F66F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  <w:r w:rsidRPr="003F2545">
              <w:rPr>
                <w:rFonts w:ascii="Times New Roman" w:eastAsia="標楷體" w:hAnsi="Times New Roman" w:cs="Times New Roman" w:hint="eastAsia"/>
                <w:szCs w:val="24"/>
                <w:shd w:val="clear" w:color="auto" w:fill="FDFDFD"/>
              </w:rPr>
              <w:t>備註</w:t>
            </w:r>
          </w:p>
        </w:tc>
      </w:tr>
      <w:tr w:rsidR="00041A28" w:rsidRPr="003F2545" w:rsidTr="00041A28">
        <w:trPr>
          <w:trHeight w:val="836"/>
        </w:trPr>
        <w:tc>
          <w:tcPr>
            <w:tcW w:w="1560" w:type="dxa"/>
            <w:vAlign w:val="center"/>
          </w:tcPr>
          <w:p w:rsidR="00041A28" w:rsidRPr="003F2545" w:rsidRDefault="00041A28" w:rsidP="00F66F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  <w:r w:rsidRPr="003F2545">
              <w:rPr>
                <w:rFonts w:ascii="Times New Roman" w:eastAsia="標楷體" w:hAnsi="Times New Roman" w:cs="Times New Roman" w:hint="eastAsia"/>
                <w:szCs w:val="24"/>
                <w:shd w:val="clear" w:color="auto" w:fill="FDFDFD"/>
              </w:rPr>
              <w:t>通識教育</w:t>
            </w:r>
          </w:p>
        </w:tc>
        <w:tc>
          <w:tcPr>
            <w:tcW w:w="1842" w:type="dxa"/>
            <w:vAlign w:val="center"/>
          </w:tcPr>
          <w:p w:rsidR="00F66F8E" w:rsidRPr="003F2545" w:rsidRDefault="0074690D" w:rsidP="00F66F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  <w:r w:rsidRPr="003F2545">
              <w:rPr>
                <w:rFonts w:ascii="Times New Roman" w:eastAsia="標楷體" w:hAnsi="Times New Roman" w:cs="Times New Roman" w:hint="eastAsia"/>
                <w:szCs w:val="24"/>
                <w:shd w:val="clear" w:color="auto" w:fill="FDFDFD"/>
              </w:rPr>
              <w:t>1</w:t>
            </w:r>
          </w:p>
          <w:p w:rsidR="00041A28" w:rsidRPr="003F2545" w:rsidRDefault="0074690D" w:rsidP="00F66F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  <w:r w:rsidRPr="003F2545">
              <w:rPr>
                <w:rFonts w:ascii="Times New Roman" w:eastAsia="標楷體" w:hAnsi="Times New Roman" w:cs="Times New Roman" w:hint="eastAsia"/>
                <w:szCs w:val="24"/>
                <w:shd w:val="clear" w:color="auto" w:fill="FDFDFD"/>
              </w:rPr>
              <w:t>(</w:t>
            </w:r>
            <w:r w:rsidR="00A52561" w:rsidRPr="003F2545">
              <w:rPr>
                <w:rFonts w:ascii="Times New Roman" w:eastAsia="標楷體" w:hAnsi="Times New Roman" w:cs="Times New Roman" w:hint="eastAsia"/>
                <w:szCs w:val="24"/>
                <w:shd w:val="clear" w:color="auto" w:fill="FDFDFD"/>
              </w:rPr>
              <w:t>50</w:t>
            </w:r>
            <w:r w:rsidR="00041A28" w:rsidRPr="003F2545">
              <w:rPr>
                <w:rFonts w:ascii="Times New Roman" w:eastAsia="標楷體" w:hAnsi="Times New Roman" w:cs="Times New Roman" w:hint="eastAsia"/>
                <w:szCs w:val="24"/>
                <w:shd w:val="clear" w:color="auto" w:fill="FDFDFD"/>
              </w:rPr>
              <w:t>%)</w:t>
            </w:r>
          </w:p>
        </w:tc>
        <w:tc>
          <w:tcPr>
            <w:tcW w:w="1843" w:type="dxa"/>
            <w:vAlign w:val="center"/>
          </w:tcPr>
          <w:p w:rsidR="00041A28" w:rsidRPr="003F2545" w:rsidRDefault="00041A28" w:rsidP="00F66F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  <w:r w:rsidRPr="003F2545">
              <w:rPr>
                <w:rFonts w:ascii="Times New Roman" w:eastAsia="標楷體" w:hAnsi="Times New Roman" w:cs="Times New Roman" w:hint="eastAsia"/>
                <w:szCs w:val="24"/>
                <w:shd w:val="clear" w:color="auto" w:fill="FDFDFD"/>
              </w:rPr>
              <w:t>0</w:t>
            </w:r>
          </w:p>
          <w:p w:rsidR="002F6C4A" w:rsidRPr="003F2545" w:rsidRDefault="002F6C4A" w:rsidP="00F66F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  <w:r w:rsidRPr="003F2545"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  <w:t>(</w:t>
            </w:r>
            <w:r w:rsidRPr="003F2545">
              <w:rPr>
                <w:rFonts w:ascii="Times New Roman" w:eastAsia="標楷體" w:hAnsi="Times New Roman" w:cs="Times New Roman" w:hint="eastAsia"/>
                <w:szCs w:val="24"/>
                <w:shd w:val="clear" w:color="auto" w:fill="FDFDFD"/>
              </w:rPr>
              <w:t>0</w:t>
            </w:r>
            <w:r w:rsidRPr="003F2545"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  <w:t>%)</w:t>
            </w:r>
          </w:p>
        </w:tc>
        <w:tc>
          <w:tcPr>
            <w:tcW w:w="1843" w:type="dxa"/>
            <w:vAlign w:val="center"/>
          </w:tcPr>
          <w:p w:rsidR="00041A28" w:rsidRPr="003F2545" w:rsidRDefault="00A52561" w:rsidP="00F66F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  <w:r w:rsidRPr="003F2545">
              <w:rPr>
                <w:rFonts w:ascii="Times New Roman" w:eastAsia="標楷體" w:hAnsi="Times New Roman" w:cs="Times New Roman" w:hint="eastAsia"/>
                <w:szCs w:val="24"/>
                <w:shd w:val="clear" w:color="auto" w:fill="FDFDFD"/>
              </w:rPr>
              <w:t>1</w:t>
            </w:r>
          </w:p>
          <w:p w:rsidR="00A52561" w:rsidRPr="003F2545" w:rsidRDefault="00A52561" w:rsidP="00F66F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  <w:r w:rsidRPr="003F2545">
              <w:rPr>
                <w:rFonts w:ascii="Times New Roman" w:eastAsia="標楷體" w:hAnsi="Times New Roman" w:cs="Times New Roman" w:hint="eastAsia"/>
                <w:szCs w:val="24"/>
                <w:shd w:val="clear" w:color="auto" w:fill="FDFDFD"/>
              </w:rPr>
              <w:t>(50%)</w:t>
            </w:r>
          </w:p>
        </w:tc>
        <w:tc>
          <w:tcPr>
            <w:tcW w:w="1276" w:type="dxa"/>
            <w:vAlign w:val="center"/>
          </w:tcPr>
          <w:p w:rsidR="00041A28" w:rsidRPr="003F2545" w:rsidRDefault="00041A28" w:rsidP="00F66F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  <w:r w:rsidRPr="003F2545">
              <w:rPr>
                <w:rFonts w:ascii="Times New Roman" w:eastAsia="標楷體" w:hAnsi="Times New Roman" w:cs="Times New Roman" w:hint="eastAsia"/>
                <w:szCs w:val="24"/>
                <w:shd w:val="clear" w:color="auto" w:fill="FDFDFD"/>
              </w:rPr>
              <w:t>以校</w:t>
            </w:r>
          </w:p>
          <w:p w:rsidR="00041A28" w:rsidRPr="003F2545" w:rsidRDefault="00041A28" w:rsidP="00F66F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  <w:r w:rsidRPr="003F2545">
              <w:rPr>
                <w:rFonts w:ascii="Times New Roman" w:eastAsia="標楷體" w:hAnsi="Times New Roman" w:cs="Times New Roman" w:hint="eastAsia"/>
                <w:szCs w:val="24"/>
                <w:shd w:val="clear" w:color="auto" w:fill="FDFDFD"/>
              </w:rPr>
              <w:t>為單位</w:t>
            </w:r>
          </w:p>
        </w:tc>
      </w:tr>
      <w:tr w:rsidR="00041A28" w:rsidRPr="003F2545" w:rsidTr="00041A28">
        <w:trPr>
          <w:trHeight w:val="848"/>
        </w:trPr>
        <w:tc>
          <w:tcPr>
            <w:tcW w:w="1560" w:type="dxa"/>
            <w:vAlign w:val="center"/>
          </w:tcPr>
          <w:p w:rsidR="00041A28" w:rsidRPr="003F2545" w:rsidRDefault="00041A28" w:rsidP="00F66F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  <w:r w:rsidRPr="003F2545">
              <w:rPr>
                <w:rFonts w:ascii="Times New Roman" w:eastAsia="標楷體" w:hAnsi="Times New Roman" w:cs="Times New Roman" w:hint="eastAsia"/>
                <w:szCs w:val="24"/>
                <w:shd w:val="clear" w:color="auto" w:fill="FDFDFD"/>
              </w:rPr>
              <w:t>系所</w:t>
            </w:r>
          </w:p>
        </w:tc>
        <w:tc>
          <w:tcPr>
            <w:tcW w:w="1842" w:type="dxa"/>
            <w:vAlign w:val="center"/>
          </w:tcPr>
          <w:p w:rsidR="00041A28" w:rsidRPr="003F2545" w:rsidRDefault="00A52561" w:rsidP="00F66F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  <w:r w:rsidRPr="003F2545">
              <w:rPr>
                <w:rFonts w:ascii="Times New Roman" w:eastAsia="標楷體" w:hAnsi="Times New Roman" w:cs="Times New Roman" w:hint="eastAsia"/>
                <w:szCs w:val="24"/>
                <w:shd w:val="clear" w:color="auto" w:fill="FDFDFD"/>
              </w:rPr>
              <w:t>4</w:t>
            </w:r>
          </w:p>
          <w:p w:rsidR="00041A28" w:rsidRPr="003F2545" w:rsidRDefault="00041A28" w:rsidP="00F66F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  <w:r w:rsidRPr="003F2545">
              <w:rPr>
                <w:rFonts w:ascii="Times New Roman" w:eastAsia="標楷體" w:hAnsi="Times New Roman" w:cs="Times New Roman" w:hint="eastAsia"/>
                <w:szCs w:val="24"/>
                <w:shd w:val="clear" w:color="auto" w:fill="FDFDFD"/>
              </w:rPr>
              <w:t>(</w:t>
            </w:r>
            <w:r w:rsidR="00A52561" w:rsidRPr="003F2545">
              <w:rPr>
                <w:rFonts w:ascii="Times New Roman" w:eastAsia="標楷體" w:hAnsi="Times New Roman" w:cs="Times New Roman" w:hint="eastAsia"/>
                <w:szCs w:val="24"/>
                <w:shd w:val="clear" w:color="auto" w:fill="FDFDFD"/>
              </w:rPr>
              <w:t>57</w:t>
            </w:r>
            <w:r w:rsidRPr="003F2545">
              <w:rPr>
                <w:rFonts w:ascii="Times New Roman" w:eastAsia="標楷體" w:hAnsi="Times New Roman" w:cs="Times New Roman" w:hint="eastAsia"/>
                <w:szCs w:val="24"/>
                <w:shd w:val="clear" w:color="auto" w:fill="FDFDFD"/>
              </w:rPr>
              <w:t>%)</w:t>
            </w:r>
          </w:p>
        </w:tc>
        <w:tc>
          <w:tcPr>
            <w:tcW w:w="1843" w:type="dxa"/>
            <w:vAlign w:val="center"/>
          </w:tcPr>
          <w:p w:rsidR="00041A28" w:rsidRPr="003F2545" w:rsidRDefault="00A52561" w:rsidP="00F66F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  <w:r w:rsidRPr="003F2545">
              <w:rPr>
                <w:rFonts w:ascii="Times New Roman" w:eastAsia="標楷體" w:hAnsi="Times New Roman" w:cs="Times New Roman" w:hint="eastAsia"/>
                <w:szCs w:val="24"/>
                <w:shd w:val="clear" w:color="auto" w:fill="FDFDFD"/>
              </w:rPr>
              <w:t>3</w:t>
            </w:r>
          </w:p>
          <w:p w:rsidR="00041A28" w:rsidRPr="003F2545" w:rsidRDefault="00041A28" w:rsidP="00F66F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  <w:r w:rsidRPr="003F2545">
              <w:rPr>
                <w:rFonts w:ascii="Times New Roman" w:eastAsia="標楷體" w:hAnsi="Times New Roman" w:cs="Times New Roman" w:hint="eastAsia"/>
                <w:szCs w:val="24"/>
                <w:shd w:val="clear" w:color="auto" w:fill="FDFDFD"/>
              </w:rPr>
              <w:t>(</w:t>
            </w:r>
            <w:r w:rsidR="00A52561" w:rsidRPr="003F2545">
              <w:rPr>
                <w:rFonts w:ascii="Times New Roman" w:eastAsia="標楷體" w:hAnsi="Times New Roman" w:cs="Times New Roman" w:hint="eastAsia"/>
                <w:szCs w:val="24"/>
                <w:shd w:val="clear" w:color="auto" w:fill="FDFDFD"/>
              </w:rPr>
              <w:t>43</w:t>
            </w:r>
            <w:r w:rsidRPr="003F2545">
              <w:rPr>
                <w:rFonts w:ascii="Times New Roman" w:eastAsia="標楷體" w:hAnsi="Times New Roman" w:cs="Times New Roman" w:hint="eastAsia"/>
                <w:szCs w:val="24"/>
                <w:shd w:val="clear" w:color="auto" w:fill="FDFDFD"/>
              </w:rPr>
              <w:t>%)</w:t>
            </w:r>
          </w:p>
        </w:tc>
        <w:tc>
          <w:tcPr>
            <w:tcW w:w="1843" w:type="dxa"/>
            <w:vAlign w:val="center"/>
          </w:tcPr>
          <w:p w:rsidR="00041A28" w:rsidRPr="003F2545" w:rsidRDefault="00041A28" w:rsidP="00F66F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  <w:r w:rsidRPr="003F2545">
              <w:rPr>
                <w:rFonts w:ascii="Times New Roman" w:eastAsia="標楷體" w:hAnsi="Times New Roman" w:cs="Times New Roman" w:hint="eastAsia"/>
                <w:szCs w:val="24"/>
                <w:shd w:val="clear" w:color="auto" w:fill="FDFDFD"/>
              </w:rPr>
              <w:t>0</w:t>
            </w:r>
          </w:p>
          <w:p w:rsidR="002F6C4A" w:rsidRPr="003F2545" w:rsidRDefault="002F6C4A" w:rsidP="00F66F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  <w:r w:rsidRPr="003F2545">
              <w:rPr>
                <w:rFonts w:ascii="Times New Roman" w:eastAsia="標楷體" w:hAnsi="Times New Roman" w:cs="Times New Roman" w:hint="eastAsia"/>
                <w:szCs w:val="24"/>
                <w:shd w:val="clear" w:color="auto" w:fill="FDFDFD"/>
              </w:rPr>
              <w:t>(0</w:t>
            </w:r>
            <w:r w:rsidRPr="003F2545"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  <w:t>%</w:t>
            </w:r>
            <w:r w:rsidRPr="003F2545">
              <w:rPr>
                <w:rFonts w:ascii="Times New Roman" w:eastAsia="標楷體" w:hAnsi="Times New Roman" w:cs="Times New Roman" w:hint="eastAsia"/>
                <w:szCs w:val="24"/>
                <w:shd w:val="clear" w:color="auto" w:fill="FDFDFD"/>
              </w:rPr>
              <w:t>)</w:t>
            </w:r>
          </w:p>
        </w:tc>
        <w:tc>
          <w:tcPr>
            <w:tcW w:w="1276" w:type="dxa"/>
            <w:vAlign w:val="center"/>
          </w:tcPr>
          <w:p w:rsidR="00041A28" w:rsidRPr="003F2545" w:rsidRDefault="00041A28" w:rsidP="00F66F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  <w:proofErr w:type="gramStart"/>
            <w:r w:rsidRPr="003F2545">
              <w:rPr>
                <w:rFonts w:ascii="Times New Roman" w:eastAsia="標楷體" w:hAnsi="Times New Roman" w:cs="Times New Roman" w:hint="eastAsia"/>
                <w:szCs w:val="24"/>
                <w:shd w:val="clear" w:color="auto" w:fill="FDFDFD"/>
              </w:rPr>
              <w:t>以班制</w:t>
            </w:r>
            <w:proofErr w:type="gramEnd"/>
          </w:p>
          <w:p w:rsidR="00041A28" w:rsidRPr="003F2545" w:rsidRDefault="00041A28" w:rsidP="00F66F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  <w:r w:rsidRPr="003F2545">
              <w:rPr>
                <w:rFonts w:ascii="Times New Roman" w:eastAsia="標楷體" w:hAnsi="Times New Roman" w:cs="Times New Roman" w:hint="eastAsia"/>
                <w:szCs w:val="24"/>
                <w:shd w:val="clear" w:color="auto" w:fill="FDFDFD"/>
              </w:rPr>
              <w:t>為單位</w:t>
            </w:r>
          </w:p>
        </w:tc>
      </w:tr>
    </w:tbl>
    <w:p w:rsidR="00F66F8E" w:rsidRPr="00DC6122" w:rsidRDefault="00F66F8E" w:rsidP="0047527E">
      <w:pPr>
        <w:spacing w:beforeLines="50" w:afterLines="50" w:line="500" w:lineRule="exact"/>
        <w:rPr>
          <w:rFonts w:ascii="標楷體" w:eastAsia="標楷體" w:hAnsi="標楷體"/>
          <w:b/>
          <w:sz w:val="32"/>
          <w:szCs w:val="32"/>
          <w:u w:val="single"/>
        </w:rPr>
      </w:pPr>
      <w:r w:rsidRPr="00DC6122">
        <w:rPr>
          <w:rFonts w:ascii="標楷體" w:eastAsia="標楷體" w:hAnsi="標楷體" w:hint="eastAsia"/>
          <w:b/>
          <w:sz w:val="32"/>
          <w:szCs w:val="32"/>
          <w:u w:val="single"/>
        </w:rPr>
        <w:t>◎評鑑資訊公開上網  開放大眾查閱</w:t>
      </w:r>
    </w:p>
    <w:p w:rsidR="00F66F8E" w:rsidRPr="003F2545" w:rsidRDefault="00F66F8E" w:rsidP="00F66F8E">
      <w:pPr>
        <w:spacing w:line="430" w:lineRule="exact"/>
        <w:ind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F2545">
        <w:rPr>
          <w:rFonts w:ascii="Times New Roman" w:eastAsia="標楷體" w:hAnsi="標楷體" w:cs="Times New Roman"/>
          <w:sz w:val="26"/>
          <w:szCs w:val="26"/>
        </w:rPr>
        <w:t>以上各受評單位的評鑑結果與「實地訪評報告書」（追蹤評鑑為「改善情形檢核表」）、「申復申請書」及「申復意見回覆說明」，皆已公告於高等教育評鑑中心網站「評鑑結果」專區</w:t>
      </w:r>
      <w:proofErr w:type="gramStart"/>
      <w:r w:rsidRPr="003F2545">
        <w:rPr>
          <w:rFonts w:ascii="Times New Roman" w:eastAsia="標楷體" w:hAnsi="標楷體" w:cs="Times New Roman"/>
          <w:sz w:val="26"/>
          <w:szCs w:val="26"/>
        </w:rPr>
        <w:t>（</w:t>
      </w:r>
      <w:proofErr w:type="gramEnd"/>
      <w:r w:rsidRPr="003F2545">
        <w:rPr>
          <w:rFonts w:ascii="Times New Roman" w:eastAsia="標楷體" w:hAnsi="Times New Roman" w:cs="Times New Roman"/>
          <w:sz w:val="26"/>
          <w:szCs w:val="26"/>
        </w:rPr>
        <w:t>http://er.heeact.edu.tw/</w:t>
      </w:r>
      <w:proofErr w:type="gramStart"/>
      <w:r w:rsidRPr="003F2545">
        <w:rPr>
          <w:rFonts w:ascii="Times New Roman" w:eastAsia="標楷體" w:hAnsi="標楷體" w:cs="Times New Roman"/>
          <w:sz w:val="26"/>
          <w:szCs w:val="26"/>
        </w:rPr>
        <w:t>）</w:t>
      </w:r>
      <w:proofErr w:type="gramEnd"/>
      <w:r w:rsidRPr="003F2545">
        <w:rPr>
          <w:rFonts w:ascii="Times New Roman" w:eastAsia="標楷體" w:hAnsi="標楷體" w:cs="Times New Roman"/>
          <w:sz w:val="26"/>
          <w:szCs w:val="26"/>
        </w:rPr>
        <w:t>。</w:t>
      </w:r>
    </w:p>
    <w:p w:rsidR="00F66F8E" w:rsidRPr="003F2545" w:rsidRDefault="00F66F8E" w:rsidP="00F66F8E">
      <w:pPr>
        <w:spacing w:line="430" w:lineRule="exact"/>
        <w:ind w:firstLineChars="200" w:firstLine="520"/>
        <w:rPr>
          <w:rFonts w:ascii="Times New Roman" w:eastAsia="標楷體" w:hAnsi="標楷體" w:cs="Times New Roman"/>
          <w:sz w:val="26"/>
          <w:szCs w:val="26"/>
        </w:rPr>
      </w:pPr>
      <w:r w:rsidRPr="003F2545">
        <w:rPr>
          <w:rFonts w:ascii="Times New Roman" w:eastAsia="標楷體" w:hAnsi="標楷體" w:cs="Times New Roman"/>
          <w:sz w:val="26"/>
          <w:szCs w:val="26"/>
        </w:rPr>
        <w:t>此次</w:t>
      </w:r>
      <w:proofErr w:type="gramStart"/>
      <w:r w:rsidR="0074690D" w:rsidRPr="003F2545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105</w:t>
      </w:r>
      <w:proofErr w:type="gramEnd"/>
      <w:r w:rsidR="0074690D" w:rsidRPr="003F2545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年度</w:t>
      </w:r>
      <w:r w:rsidR="00A52561" w:rsidRPr="003F2545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下</w:t>
      </w:r>
      <w:r w:rsidR="0074690D" w:rsidRPr="003F2545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半年通識教育</w:t>
      </w:r>
      <w:r w:rsidR="00D6395B" w:rsidRPr="003F2545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暨第二週期系所評鑑</w:t>
      </w:r>
      <w:r w:rsidR="0074690D" w:rsidRPr="003F2545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追蹤評鑑與再評鑑另有</w:t>
      </w:r>
      <w:r w:rsidR="00A52561" w:rsidRPr="003F2545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="0074690D" w:rsidRPr="003F2545">
        <w:rPr>
          <w:rFonts w:ascii="Times New Roman" w:eastAsia="標楷體" w:hAnsi="標楷體" w:cs="Times New Roman"/>
          <w:sz w:val="26"/>
          <w:szCs w:val="26"/>
        </w:rPr>
        <w:t>所軍</w:t>
      </w:r>
      <w:r w:rsidR="00A52561" w:rsidRPr="003F2545">
        <w:rPr>
          <w:rFonts w:ascii="Times New Roman" w:eastAsia="標楷體" w:hAnsi="標楷體" w:cs="Times New Roman" w:hint="eastAsia"/>
          <w:sz w:val="26"/>
          <w:szCs w:val="26"/>
        </w:rPr>
        <w:t>事</w:t>
      </w:r>
      <w:r w:rsidR="0074690D" w:rsidRPr="003F2545">
        <w:rPr>
          <w:rFonts w:ascii="Times New Roman" w:eastAsia="標楷體" w:hAnsi="標楷體" w:cs="Times New Roman"/>
          <w:sz w:val="26"/>
          <w:szCs w:val="26"/>
        </w:rPr>
        <w:t>校院受評</w:t>
      </w:r>
      <w:r w:rsidR="0074690D" w:rsidRPr="003F2545">
        <w:rPr>
          <w:rFonts w:ascii="Times New Roman" w:eastAsia="標楷體" w:hAnsi="標楷體" w:cs="Times New Roman" w:hint="eastAsia"/>
          <w:sz w:val="26"/>
          <w:szCs w:val="26"/>
        </w:rPr>
        <w:t>，</w:t>
      </w:r>
      <w:r w:rsidRPr="003F2545">
        <w:rPr>
          <w:rFonts w:ascii="Times New Roman" w:eastAsia="標楷體" w:hAnsi="標楷體" w:cs="Times New Roman"/>
          <w:sz w:val="26"/>
          <w:szCs w:val="26"/>
        </w:rPr>
        <w:t>評鑑結果將由教育部函知軍</w:t>
      </w:r>
      <w:r w:rsidR="00A52561" w:rsidRPr="003F2545">
        <w:rPr>
          <w:rFonts w:ascii="Times New Roman" w:eastAsia="標楷體" w:hAnsi="標楷體" w:cs="Times New Roman" w:hint="eastAsia"/>
          <w:sz w:val="26"/>
          <w:szCs w:val="26"/>
        </w:rPr>
        <w:t>事</w:t>
      </w:r>
      <w:r w:rsidRPr="003F2545">
        <w:rPr>
          <w:rFonts w:ascii="Times New Roman" w:eastAsia="標楷體" w:hAnsi="標楷體" w:cs="Times New Roman"/>
          <w:sz w:val="26"/>
          <w:szCs w:val="26"/>
        </w:rPr>
        <w:t>校院主管機關國防部處理，不予公告。</w:t>
      </w:r>
    </w:p>
    <w:p w:rsidR="00F66F8E" w:rsidRDefault="00F66F8E" w:rsidP="00F66F8E">
      <w:pPr>
        <w:spacing w:line="430" w:lineRule="exact"/>
        <w:rPr>
          <w:rFonts w:ascii="Times New Roman" w:eastAsia="標楷體" w:hAnsi="標楷體" w:cs="Times New Roman"/>
          <w:sz w:val="26"/>
          <w:szCs w:val="26"/>
        </w:rPr>
      </w:pPr>
    </w:p>
    <w:sectPr w:rsidR="00F66F8E" w:rsidSect="00EE2B20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809" w:rsidRDefault="002F3809" w:rsidP="00616CB2">
      <w:r>
        <w:separator/>
      </w:r>
    </w:p>
  </w:endnote>
  <w:endnote w:type="continuationSeparator" w:id="0">
    <w:p w:rsidR="002F3809" w:rsidRDefault="002F3809" w:rsidP="00616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37087"/>
      <w:docPartObj>
        <w:docPartGallery w:val="Page Numbers (Bottom of Page)"/>
        <w:docPartUnique/>
      </w:docPartObj>
    </w:sdtPr>
    <w:sdtContent>
      <w:p w:rsidR="001A3A53" w:rsidRDefault="00514E1F">
        <w:pPr>
          <w:pStyle w:val="a6"/>
          <w:jc w:val="center"/>
        </w:pPr>
        <w:r w:rsidRPr="00514E1F">
          <w:fldChar w:fldCharType="begin"/>
        </w:r>
        <w:r w:rsidR="00CD16EC">
          <w:instrText xml:space="preserve"> PAGE   \* MERGEFORMAT </w:instrText>
        </w:r>
        <w:r w:rsidRPr="00514E1F">
          <w:fldChar w:fldCharType="separate"/>
        </w:r>
        <w:r w:rsidR="0047527E" w:rsidRPr="0047527E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1A3A53" w:rsidRDefault="001A3A5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809" w:rsidRDefault="002F3809" w:rsidP="00616CB2">
      <w:r>
        <w:separator/>
      </w:r>
    </w:p>
  </w:footnote>
  <w:footnote w:type="continuationSeparator" w:id="0">
    <w:p w:rsidR="002F3809" w:rsidRDefault="002F3809" w:rsidP="00616C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8E" w:rsidRPr="00F66F8E" w:rsidRDefault="00F66F8E">
    <w:pPr>
      <w:pStyle w:val="a4"/>
    </w:pPr>
    <w:r>
      <w:rPr>
        <w:rFonts w:hint="eastAsia"/>
        <w:noProof/>
      </w:rPr>
      <w:drawing>
        <wp:inline distT="0" distB="0" distL="0" distR="0">
          <wp:extent cx="190500" cy="203200"/>
          <wp:effectExtent l="19050" t="0" r="0" b="0"/>
          <wp:docPr id="3" name="圖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203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>財團法人高等教育評鑑中心基金會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45A63"/>
    <w:multiLevelType w:val="hybridMultilevel"/>
    <w:tmpl w:val="2E68A6E8"/>
    <w:lvl w:ilvl="0" w:tplc="EE96A84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587280"/>
    <w:multiLevelType w:val="hybridMultilevel"/>
    <w:tmpl w:val="ECB69AF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>
    <w:nsid w:val="7EC11670"/>
    <w:multiLevelType w:val="hybridMultilevel"/>
    <w:tmpl w:val="BA4216D8"/>
    <w:lvl w:ilvl="0" w:tplc="AB52D2F6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659"/>
    <w:rsid w:val="00017E81"/>
    <w:rsid w:val="00026EB8"/>
    <w:rsid w:val="00030474"/>
    <w:rsid w:val="00031026"/>
    <w:rsid w:val="0003415C"/>
    <w:rsid w:val="00041A28"/>
    <w:rsid w:val="00051982"/>
    <w:rsid w:val="00087F41"/>
    <w:rsid w:val="000C0A7E"/>
    <w:rsid w:val="000C4205"/>
    <w:rsid w:val="000C5CE7"/>
    <w:rsid w:val="000D0B8E"/>
    <w:rsid w:val="000E4461"/>
    <w:rsid w:val="000E705C"/>
    <w:rsid w:val="00103659"/>
    <w:rsid w:val="00112F59"/>
    <w:rsid w:val="00116E02"/>
    <w:rsid w:val="0013188D"/>
    <w:rsid w:val="00156551"/>
    <w:rsid w:val="00187A6D"/>
    <w:rsid w:val="001A3A53"/>
    <w:rsid w:val="001B6D04"/>
    <w:rsid w:val="001D29DE"/>
    <w:rsid w:val="001E3780"/>
    <w:rsid w:val="001E513A"/>
    <w:rsid w:val="001F4B90"/>
    <w:rsid w:val="00203D93"/>
    <w:rsid w:val="00204571"/>
    <w:rsid w:val="00231582"/>
    <w:rsid w:val="00241F82"/>
    <w:rsid w:val="00252753"/>
    <w:rsid w:val="00255845"/>
    <w:rsid w:val="00282E2C"/>
    <w:rsid w:val="00291FC7"/>
    <w:rsid w:val="002A476D"/>
    <w:rsid w:val="002B07C7"/>
    <w:rsid w:val="002B12D1"/>
    <w:rsid w:val="002F3809"/>
    <w:rsid w:val="002F6C4A"/>
    <w:rsid w:val="0031203C"/>
    <w:rsid w:val="00333DFE"/>
    <w:rsid w:val="0033400F"/>
    <w:rsid w:val="00364D76"/>
    <w:rsid w:val="00372715"/>
    <w:rsid w:val="00375A1A"/>
    <w:rsid w:val="003A3F07"/>
    <w:rsid w:val="003A4381"/>
    <w:rsid w:val="003A72BE"/>
    <w:rsid w:val="003B2A1B"/>
    <w:rsid w:val="003C7156"/>
    <w:rsid w:val="003D35AC"/>
    <w:rsid w:val="003E48F8"/>
    <w:rsid w:val="003E53DD"/>
    <w:rsid w:val="003F2545"/>
    <w:rsid w:val="003F3E7A"/>
    <w:rsid w:val="004205AE"/>
    <w:rsid w:val="004218FE"/>
    <w:rsid w:val="00423003"/>
    <w:rsid w:val="0047527E"/>
    <w:rsid w:val="00476EEA"/>
    <w:rsid w:val="004840EC"/>
    <w:rsid w:val="00485010"/>
    <w:rsid w:val="0048546F"/>
    <w:rsid w:val="00487860"/>
    <w:rsid w:val="004C206E"/>
    <w:rsid w:val="004C2852"/>
    <w:rsid w:val="004C2FAA"/>
    <w:rsid w:val="004D78D3"/>
    <w:rsid w:val="004E39C0"/>
    <w:rsid w:val="004E40DF"/>
    <w:rsid w:val="004E5B34"/>
    <w:rsid w:val="004E5BEB"/>
    <w:rsid w:val="004F2CB1"/>
    <w:rsid w:val="00501F05"/>
    <w:rsid w:val="00502FF0"/>
    <w:rsid w:val="005037B3"/>
    <w:rsid w:val="00510438"/>
    <w:rsid w:val="00514E1F"/>
    <w:rsid w:val="00523992"/>
    <w:rsid w:val="00524CAE"/>
    <w:rsid w:val="00525601"/>
    <w:rsid w:val="005514F3"/>
    <w:rsid w:val="0059609F"/>
    <w:rsid w:val="005A35D9"/>
    <w:rsid w:val="005A6F36"/>
    <w:rsid w:val="005B195A"/>
    <w:rsid w:val="005B6580"/>
    <w:rsid w:val="005C03F6"/>
    <w:rsid w:val="005D2A1C"/>
    <w:rsid w:val="005D7313"/>
    <w:rsid w:val="0061572F"/>
    <w:rsid w:val="00616CB2"/>
    <w:rsid w:val="00624DA4"/>
    <w:rsid w:val="00626AB1"/>
    <w:rsid w:val="00650475"/>
    <w:rsid w:val="00656228"/>
    <w:rsid w:val="00682BE9"/>
    <w:rsid w:val="006874F7"/>
    <w:rsid w:val="00697027"/>
    <w:rsid w:val="006B5270"/>
    <w:rsid w:val="006E6067"/>
    <w:rsid w:val="00700B36"/>
    <w:rsid w:val="00722AFE"/>
    <w:rsid w:val="0073041C"/>
    <w:rsid w:val="00732F06"/>
    <w:rsid w:val="00741D9F"/>
    <w:rsid w:val="00745A45"/>
    <w:rsid w:val="00746559"/>
    <w:rsid w:val="0074690D"/>
    <w:rsid w:val="00765AED"/>
    <w:rsid w:val="007767C0"/>
    <w:rsid w:val="007A5B07"/>
    <w:rsid w:val="007C15A2"/>
    <w:rsid w:val="007C2A87"/>
    <w:rsid w:val="007C6794"/>
    <w:rsid w:val="007D175C"/>
    <w:rsid w:val="007D5F69"/>
    <w:rsid w:val="007F46F3"/>
    <w:rsid w:val="007F4D98"/>
    <w:rsid w:val="00821525"/>
    <w:rsid w:val="008246A1"/>
    <w:rsid w:val="00827877"/>
    <w:rsid w:val="008500BC"/>
    <w:rsid w:val="00860A8E"/>
    <w:rsid w:val="0087137E"/>
    <w:rsid w:val="00887737"/>
    <w:rsid w:val="00891C32"/>
    <w:rsid w:val="00895CA5"/>
    <w:rsid w:val="008A2421"/>
    <w:rsid w:val="008B0FBD"/>
    <w:rsid w:val="008D577B"/>
    <w:rsid w:val="008F1DA5"/>
    <w:rsid w:val="008F3DE7"/>
    <w:rsid w:val="00900F8E"/>
    <w:rsid w:val="00911651"/>
    <w:rsid w:val="00912B8A"/>
    <w:rsid w:val="00917CCD"/>
    <w:rsid w:val="00923E37"/>
    <w:rsid w:val="00930B14"/>
    <w:rsid w:val="00960A0B"/>
    <w:rsid w:val="00981BB0"/>
    <w:rsid w:val="0099491A"/>
    <w:rsid w:val="009C0506"/>
    <w:rsid w:val="009C0FEC"/>
    <w:rsid w:val="009C6542"/>
    <w:rsid w:val="009D7620"/>
    <w:rsid w:val="009E4855"/>
    <w:rsid w:val="009F50CF"/>
    <w:rsid w:val="009F7B58"/>
    <w:rsid w:val="00A03420"/>
    <w:rsid w:val="00A515BE"/>
    <w:rsid w:val="00A52561"/>
    <w:rsid w:val="00A63F97"/>
    <w:rsid w:val="00A81791"/>
    <w:rsid w:val="00A97419"/>
    <w:rsid w:val="00AA5849"/>
    <w:rsid w:val="00AD4212"/>
    <w:rsid w:val="00AF70B1"/>
    <w:rsid w:val="00B342E5"/>
    <w:rsid w:val="00B50DBE"/>
    <w:rsid w:val="00B52E73"/>
    <w:rsid w:val="00B54A50"/>
    <w:rsid w:val="00B60E3D"/>
    <w:rsid w:val="00B61C33"/>
    <w:rsid w:val="00B77114"/>
    <w:rsid w:val="00B81020"/>
    <w:rsid w:val="00B81B8E"/>
    <w:rsid w:val="00B90902"/>
    <w:rsid w:val="00B95AE9"/>
    <w:rsid w:val="00B9636C"/>
    <w:rsid w:val="00BB5C29"/>
    <w:rsid w:val="00BB72A4"/>
    <w:rsid w:val="00BC6033"/>
    <w:rsid w:val="00BD5CD0"/>
    <w:rsid w:val="00BE2796"/>
    <w:rsid w:val="00BE4721"/>
    <w:rsid w:val="00BE48E7"/>
    <w:rsid w:val="00BE61B3"/>
    <w:rsid w:val="00BE7009"/>
    <w:rsid w:val="00BF2833"/>
    <w:rsid w:val="00C059CD"/>
    <w:rsid w:val="00C0790B"/>
    <w:rsid w:val="00C43C6D"/>
    <w:rsid w:val="00C75248"/>
    <w:rsid w:val="00C82E5A"/>
    <w:rsid w:val="00CA2ADE"/>
    <w:rsid w:val="00CA5170"/>
    <w:rsid w:val="00CD16EC"/>
    <w:rsid w:val="00CD4B49"/>
    <w:rsid w:val="00CD5F8F"/>
    <w:rsid w:val="00CE44DA"/>
    <w:rsid w:val="00D06FAB"/>
    <w:rsid w:val="00D24845"/>
    <w:rsid w:val="00D36CB6"/>
    <w:rsid w:val="00D44438"/>
    <w:rsid w:val="00D50869"/>
    <w:rsid w:val="00D538A8"/>
    <w:rsid w:val="00D568AA"/>
    <w:rsid w:val="00D57152"/>
    <w:rsid w:val="00D6395B"/>
    <w:rsid w:val="00D9260D"/>
    <w:rsid w:val="00DA48C1"/>
    <w:rsid w:val="00DA5C34"/>
    <w:rsid w:val="00DC08FC"/>
    <w:rsid w:val="00DC7F76"/>
    <w:rsid w:val="00DE49FC"/>
    <w:rsid w:val="00DF6607"/>
    <w:rsid w:val="00E14382"/>
    <w:rsid w:val="00E35611"/>
    <w:rsid w:val="00E36F7C"/>
    <w:rsid w:val="00E94AD5"/>
    <w:rsid w:val="00EA5039"/>
    <w:rsid w:val="00EB1B18"/>
    <w:rsid w:val="00EE2B20"/>
    <w:rsid w:val="00F00298"/>
    <w:rsid w:val="00F02495"/>
    <w:rsid w:val="00F15130"/>
    <w:rsid w:val="00F178FC"/>
    <w:rsid w:val="00F2707A"/>
    <w:rsid w:val="00F315E9"/>
    <w:rsid w:val="00F34F51"/>
    <w:rsid w:val="00F35380"/>
    <w:rsid w:val="00F66F8E"/>
    <w:rsid w:val="00F67967"/>
    <w:rsid w:val="00F950D2"/>
    <w:rsid w:val="00F97DCB"/>
    <w:rsid w:val="00FB2392"/>
    <w:rsid w:val="00FC3A6D"/>
    <w:rsid w:val="00FF20EE"/>
    <w:rsid w:val="00FF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6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6C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6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6CB2"/>
    <w:rPr>
      <w:sz w:val="20"/>
      <w:szCs w:val="20"/>
    </w:rPr>
  </w:style>
  <w:style w:type="paragraph" w:styleId="a8">
    <w:name w:val="List Paragraph"/>
    <w:basedOn w:val="a"/>
    <w:uiPriority w:val="34"/>
    <w:qFormat/>
    <w:rsid w:val="00241F8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66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6F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AEE11-7A3B-4D9D-A35D-BF8E9062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333</Words>
  <Characters>1902</Characters>
  <Application>Microsoft Office Word</Application>
  <DocSecurity>0</DocSecurity>
  <Lines>15</Lines>
  <Paragraphs>4</Paragraphs>
  <ScaleCrop>false</ScaleCrop>
  <Company>財團法人高等教育評鑑中心基金會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林劭民</dc:creator>
  <cp:lastModifiedBy>unicorn</cp:lastModifiedBy>
  <cp:revision>4</cp:revision>
  <cp:lastPrinted>2018-06-28T02:13:00Z</cp:lastPrinted>
  <dcterms:created xsi:type="dcterms:W3CDTF">2019-06-03T05:53:00Z</dcterms:created>
  <dcterms:modified xsi:type="dcterms:W3CDTF">2019-06-27T04:30:00Z</dcterms:modified>
</cp:coreProperties>
</file>