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70" w:rsidRPr="003F688A" w:rsidRDefault="006B5270" w:rsidP="006B5270">
      <w:pPr>
        <w:snapToGrid w:val="0"/>
        <w:spacing w:line="400" w:lineRule="exact"/>
        <w:ind w:firstLineChars="250" w:firstLine="900"/>
        <w:rPr>
          <w:rFonts w:ascii="細明體" w:eastAsia="細明體" w:hAnsi="細明體"/>
          <w:b/>
          <w:spacing w:val="20"/>
          <w:sz w:val="32"/>
          <w:szCs w:val="32"/>
        </w:rPr>
      </w:pPr>
      <w:r w:rsidRPr="003F688A">
        <w:rPr>
          <w:rFonts w:ascii="細明體" w:eastAsia="細明體" w:hAnsi="細明體" w:hint="eastAsia"/>
          <w:spacing w:val="20"/>
          <w:sz w:val="32"/>
          <w:szCs w:val="32"/>
        </w:rPr>
        <w:t>【</w:t>
      </w:r>
      <w:r w:rsidRPr="003F688A">
        <w:rPr>
          <w:rFonts w:ascii="標楷體" w:eastAsia="標楷體" w:hAnsi="標楷體" w:hint="eastAsia"/>
          <w:b/>
          <w:spacing w:val="20"/>
          <w:sz w:val="32"/>
          <w:szCs w:val="32"/>
        </w:rPr>
        <w:t>財團法人高等教育評鑑中心基金會新聞稿</w:t>
      </w:r>
      <w:r w:rsidRPr="003F688A">
        <w:rPr>
          <w:rFonts w:ascii="細明體" w:eastAsia="細明體" w:hAnsi="細明體" w:hint="eastAsia"/>
          <w:b/>
          <w:spacing w:val="20"/>
          <w:sz w:val="32"/>
          <w:szCs w:val="32"/>
        </w:rPr>
        <w:t>】</w:t>
      </w:r>
    </w:p>
    <w:p w:rsidR="006B5270" w:rsidRPr="00050DF7" w:rsidRDefault="006B5270" w:rsidP="006B5270">
      <w:pPr>
        <w:snapToGrid w:val="0"/>
        <w:spacing w:line="400" w:lineRule="exact"/>
        <w:rPr>
          <w:rFonts w:ascii="標楷體" w:eastAsia="標楷體" w:hAnsi="標楷體"/>
          <w:b/>
          <w:spacing w:val="20"/>
          <w:sz w:val="32"/>
          <w:szCs w:val="32"/>
        </w:rPr>
      </w:pPr>
    </w:p>
    <w:p w:rsidR="00743049" w:rsidRDefault="006B5270" w:rsidP="00A97419">
      <w:pPr>
        <w:snapToGrid w:val="0"/>
        <w:spacing w:line="340" w:lineRule="exact"/>
        <w:jc w:val="center"/>
        <w:rPr>
          <w:rFonts w:ascii="Times New Roman" w:eastAsia="標楷體" w:hAnsi="標楷體" w:cs="Times New Roman"/>
          <w:b/>
          <w:spacing w:val="20"/>
          <w:sz w:val="32"/>
          <w:szCs w:val="32"/>
        </w:rPr>
      </w:pPr>
      <w:proofErr w:type="gramStart"/>
      <w:r w:rsidRPr="003F2545">
        <w:rPr>
          <w:rFonts w:ascii="Times New Roman" w:eastAsia="標楷體" w:hAnsi="Times New Roman" w:cs="Times New Roman"/>
          <w:b/>
          <w:spacing w:val="20"/>
          <w:sz w:val="32"/>
          <w:szCs w:val="32"/>
        </w:rPr>
        <w:t>10</w:t>
      </w:r>
      <w:r w:rsidR="00743049">
        <w:rPr>
          <w:rFonts w:ascii="Times New Roman" w:eastAsia="標楷體" w:hAnsi="Times New Roman" w:cs="Times New Roman" w:hint="eastAsia"/>
          <w:b/>
          <w:spacing w:val="20"/>
          <w:sz w:val="32"/>
          <w:szCs w:val="32"/>
        </w:rPr>
        <w:t>6</w:t>
      </w:r>
      <w:proofErr w:type="gramEnd"/>
      <w:r w:rsidR="00FB2392" w:rsidRPr="003F2545">
        <w:rPr>
          <w:rFonts w:ascii="Times New Roman" w:eastAsia="標楷體" w:hAnsi="標楷體" w:cs="Times New Roman"/>
          <w:b/>
          <w:spacing w:val="20"/>
          <w:sz w:val="32"/>
          <w:szCs w:val="32"/>
        </w:rPr>
        <w:t>年度</w:t>
      </w:r>
      <w:r w:rsidR="00743049">
        <w:rPr>
          <w:rFonts w:ascii="Times New Roman" w:eastAsia="標楷體" w:hAnsi="標楷體" w:cs="Times New Roman" w:hint="eastAsia"/>
          <w:b/>
          <w:spacing w:val="20"/>
          <w:sz w:val="32"/>
          <w:szCs w:val="32"/>
        </w:rPr>
        <w:t>上</w:t>
      </w:r>
      <w:r w:rsidRPr="003F2545">
        <w:rPr>
          <w:rFonts w:ascii="Times New Roman" w:eastAsia="標楷體" w:hAnsi="標楷體" w:cs="Times New Roman"/>
          <w:b/>
          <w:spacing w:val="20"/>
          <w:sz w:val="32"/>
          <w:szCs w:val="32"/>
        </w:rPr>
        <w:t>半年第二週期大學校院校務評鑑</w:t>
      </w:r>
    </w:p>
    <w:p w:rsidR="00A97419" w:rsidRPr="003F2545" w:rsidRDefault="00743049" w:rsidP="00A97419">
      <w:pPr>
        <w:snapToGrid w:val="0"/>
        <w:spacing w:line="340" w:lineRule="exact"/>
        <w:jc w:val="center"/>
        <w:rPr>
          <w:rFonts w:ascii="Times New Roman" w:eastAsia="標楷體" w:hAnsi="標楷體" w:cs="Times New Roman"/>
          <w:b/>
          <w:spacing w:val="20"/>
          <w:sz w:val="32"/>
          <w:szCs w:val="32"/>
        </w:rPr>
      </w:pPr>
      <w:r w:rsidRPr="003F2545">
        <w:rPr>
          <w:rFonts w:ascii="Times New Roman" w:eastAsia="標楷體" w:hAnsi="標楷體" w:cs="Times New Roman" w:hint="eastAsia"/>
          <w:b/>
          <w:spacing w:val="20"/>
          <w:sz w:val="32"/>
          <w:szCs w:val="32"/>
        </w:rPr>
        <w:t>追蹤評鑑與再評鑑</w:t>
      </w:r>
    </w:p>
    <w:p w:rsidR="00A97419" w:rsidRPr="003F2545" w:rsidRDefault="00A97419" w:rsidP="00A97419">
      <w:pPr>
        <w:snapToGrid w:val="0"/>
        <w:spacing w:line="340" w:lineRule="exact"/>
        <w:jc w:val="center"/>
        <w:rPr>
          <w:rFonts w:ascii="Times New Roman" w:eastAsia="標楷體" w:hAnsi="標楷體" w:cs="Times New Roman"/>
          <w:b/>
          <w:spacing w:val="20"/>
          <w:sz w:val="32"/>
          <w:szCs w:val="32"/>
        </w:rPr>
      </w:pPr>
    </w:p>
    <w:p w:rsidR="006B5270" w:rsidRPr="003F2545" w:rsidRDefault="006B5270" w:rsidP="00A97419">
      <w:pPr>
        <w:snapToGrid w:val="0"/>
        <w:spacing w:line="340" w:lineRule="exact"/>
        <w:jc w:val="center"/>
        <w:rPr>
          <w:rFonts w:ascii="Times New Roman" w:eastAsia="標楷體" w:hAnsi="標楷體" w:cs="Times New Roman"/>
          <w:b/>
          <w:spacing w:val="20"/>
          <w:sz w:val="32"/>
          <w:szCs w:val="32"/>
        </w:rPr>
      </w:pPr>
      <w:r w:rsidRPr="003F2545">
        <w:rPr>
          <w:rFonts w:ascii="Times New Roman" w:eastAsia="標楷體" w:hAnsi="標楷體" w:cs="Times New Roman"/>
          <w:b/>
          <w:spacing w:val="20"/>
          <w:sz w:val="32"/>
          <w:szCs w:val="32"/>
        </w:rPr>
        <w:t>結果公布</w:t>
      </w:r>
    </w:p>
    <w:p w:rsidR="006B5270" w:rsidRPr="006B5270" w:rsidRDefault="006B5270" w:rsidP="006B5270">
      <w:pPr>
        <w:spacing w:line="300" w:lineRule="exact"/>
        <w:jc w:val="right"/>
        <w:rPr>
          <w:rFonts w:ascii="Times New Roman" w:eastAsia="標楷體" w:hAnsi="Times New Roman" w:cs="Times New Roman"/>
          <w:color w:val="FF0000"/>
        </w:rPr>
      </w:pPr>
      <w:r w:rsidRPr="003F2545">
        <w:rPr>
          <w:rFonts w:ascii="標楷體" w:eastAsia="標楷體" w:hAnsi="標楷體" w:hint="eastAsia"/>
        </w:rPr>
        <w:t>發稿日期：</w:t>
      </w:r>
      <w:r w:rsidR="003C7156" w:rsidRPr="00795A5B">
        <w:rPr>
          <w:rFonts w:ascii="Times New Roman" w:eastAsia="標楷體" w:hAnsi="Times New Roman" w:cs="Times New Roman"/>
        </w:rPr>
        <w:t>10</w:t>
      </w:r>
      <w:r w:rsidR="00C75248" w:rsidRPr="00795A5B">
        <w:rPr>
          <w:rFonts w:ascii="Times New Roman" w:eastAsia="標楷體" w:hAnsi="Times New Roman" w:cs="Times New Roman" w:hint="eastAsia"/>
        </w:rPr>
        <w:t>8</w:t>
      </w:r>
      <w:r w:rsidR="003C7156" w:rsidRPr="00795A5B">
        <w:rPr>
          <w:rFonts w:ascii="Times New Roman" w:eastAsia="標楷體" w:hAnsi="Times New Roman" w:cs="Times New Roman"/>
        </w:rPr>
        <w:t>.</w:t>
      </w:r>
      <w:r w:rsidR="00743049" w:rsidRPr="00795A5B">
        <w:rPr>
          <w:rFonts w:ascii="Times New Roman" w:eastAsia="標楷體" w:hAnsi="Times New Roman" w:cs="Times New Roman" w:hint="eastAsia"/>
        </w:rPr>
        <w:t>12</w:t>
      </w:r>
      <w:r w:rsidR="003C7156" w:rsidRPr="00795A5B">
        <w:rPr>
          <w:rFonts w:ascii="Times New Roman" w:eastAsia="標楷體" w:hAnsi="Times New Roman" w:cs="Times New Roman"/>
        </w:rPr>
        <w:t>.</w:t>
      </w:r>
      <w:r w:rsidR="00795A5B" w:rsidRPr="00795A5B">
        <w:rPr>
          <w:rFonts w:ascii="Times New Roman" w:eastAsia="標楷體" w:hAnsi="Times New Roman" w:cs="Times New Roman" w:hint="eastAsia"/>
        </w:rPr>
        <w:t>31</w:t>
      </w:r>
    </w:p>
    <w:p w:rsidR="006B5270" w:rsidRPr="003F1673" w:rsidRDefault="008F6E2A" w:rsidP="006B5270">
      <w:pPr>
        <w:spacing w:line="240" w:lineRule="exact"/>
        <w:ind w:firstLineChars="100" w:firstLine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601970" cy="0"/>
                <wp:effectExtent l="19050" t="20320" r="27305" b="273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19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8065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441.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/noEwIAACkEAAAOAAAAZHJzL2Uyb0RvYy54bWysU8GO2jAQvVfqP1i+QxI2y0JEWFUJ9EK7&#10;SLv9AGM7xKpjW7YhoKr/3rEhaGkvVdUcnHE88/Jm3vPi+dRJdOTWCa1KnI1TjLiimgm1L/G3t/Vo&#10;hpHzRDEiteIlPnOHn5cfPyx6U/CJbrVk3CIAUa7oTYlb702RJI62vCNurA1XcNho2xEPW7tPmCU9&#10;oHcymaTpNOm1ZcZqyp2Dr/XlEC8jftNw6l+axnGPZImBm4+rjesurMlyQYq9JaYV9EqD/AOLjggF&#10;P71B1cQTdLDiD6hOUKudbvyY6i7RTSMojz1AN1n6WzevLTE89gLDceY2Jvf/YOnX49YiwUA7jBTp&#10;QKKNUBxNwmR64wpIqNTWht7oSb2ajabfHVK6aona88jw7WygLAsVyV1J2DgD+Lv+i2aQQw5exzGd&#10;GtsFSBgAOkU1zjc1+MkjCh8fp2k2fwLR6HCWkGIoNNb5z1x3KAQllsA5ApPjxvlAhBRDSviP0msh&#10;ZRRbKtSX+GGWpWmscFoKFk5DnrP7XSUtOpLgF3hm0SKAdpdm9UGxiNZywlbX2BMhLzHkSxXwoBfg&#10;c40uhvgxT+er2WqWj/LJdDXK07oefVpX+Wi6zp4e64e6qursZ6CW5UUrGOMqsBvMmeV/J/71mlxs&#10;dbPnbQ7JPXocGJAd3pF0FDPod3HCTrPz1g4igx9j8vXuBMO/30P8/oYvfwEAAP//AwBQSwMEFAAG&#10;AAgAAAAhAC7kE63YAAAABgEAAA8AAABkcnMvZG93bnJldi54bWxMjzFPw0AMhXck/sPJSGz00gwo&#10;CrlUSQWoCwMtYnZzJoma80W5axP+Pa4YYLPfs56/V2wWN6gLTaH3bGC9SkARN9723Br4OLw8ZKBC&#10;RLY4eCYD3xRgU97eFJhbP/M7XfaxVRLCIUcDXYxjrnVoOnIYVn4kFu/LTw6jrFOr7YSzhLtBp0ny&#10;qB32LB86HGnbUXPan52Bqq7ekJJXX9e79edusfOhe66Mub9bqidQkZb4dwxXfEGHUpiO/sw2qMGA&#10;FImipikocbPsOhx/BV0W+j9++QMAAP//AwBQSwECLQAUAAYACAAAACEAtoM4kv4AAADhAQAAEwAA&#10;AAAAAAAAAAAAAAAAAAAAW0NvbnRlbnRfVHlwZXNdLnhtbFBLAQItABQABgAIAAAAIQA4/SH/1gAA&#10;AJQBAAALAAAAAAAAAAAAAAAAAC8BAABfcmVscy8ucmVsc1BLAQItABQABgAIAAAAIQCWa/noEwIA&#10;ACkEAAAOAAAAAAAAAAAAAAAAAC4CAABkcnMvZTJvRG9jLnhtbFBLAQItABQABgAIAAAAIQAu5BOt&#10;2AAAAAYBAAAPAAAAAAAAAAAAAAAAAG0EAABkcnMvZG93bnJldi54bWxQSwUGAAAAAAQABADzAAAA&#10;cgUAAAAA&#10;" strokecolor="navy" strokeweight="3pt"/>
            </w:pict>
          </mc:Fallback>
        </mc:AlternateContent>
      </w:r>
    </w:p>
    <w:p w:rsidR="00103659" w:rsidRPr="007B2C44" w:rsidRDefault="005B6580" w:rsidP="007B2C44">
      <w:pPr>
        <w:spacing w:line="480" w:lineRule="exact"/>
        <w:ind w:firstLineChars="200" w:firstLine="560"/>
        <w:jc w:val="both"/>
        <w:rPr>
          <w:rFonts w:ascii="Times New Roman" w:eastAsia="標楷體" w:hAnsi="標楷體" w:cs="Times New Roman"/>
          <w:sz w:val="28"/>
          <w:szCs w:val="28"/>
          <w:shd w:val="clear" w:color="auto" w:fill="FDFDFD"/>
        </w:rPr>
      </w:pPr>
      <w:proofErr w:type="gramStart"/>
      <w:r w:rsidRPr="007B2C44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10</w:t>
      </w:r>
      <w:r w:rsidR="00743049" w:rsidRPr="007B2C44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6</w:t>
      </w:r>
      <w:proofErr w:type="gramEnd"/>
      <w:r w:rsidRPr="007B2C44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年</w:t>
      </w:r>
      <w:r w:rsidR="00A03420" w:rsidRPr="007B2C44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度</w:t>
      </w:r>
      <w:r w:rsidR="00743049" w:rsidRPr="007B2C44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上</w:t>
      </w:r>
      <w:r w:rsidRPr="007B2C44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半年</w:t>
      </w:r>
      <w:r w:rsidR="00743049" w:rsidRPr="007B2C44">
        <w:rPr>
          <w:rFonts w:ascii="Times New Roman" w:eastAsia="標楷體" w:hAnsi="標楷體" w:cs="Times New Roman"/>
          <w:sz w:val="28"/>
          <w:szCs w:val="28"/>
          <w:shd w:val="clear" w:color="auto" w:fill="FDFDFD"/>
        </w:rPr>
        <w:t>第二週期大學校院校務評鑑</w:t>
      </w:r>
      <w:r w:rsidR="007B2C44" w:rsidRPr="007B2C44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追蹤評鑑與再評鑑</w:t>
      </w:r>
      <w:r w:rsidR="007B2C44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係針對</w:t>
      </w:r>
      <w:proofErr w:type="gramStart"/>
      <w:r w:rsidR="007B2C44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106</w:t>
      </w:r>
      <w:proofErr w:type="gramEnd"/>
      <w:r w:rsidR="007B2C44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年度上半年校務</w:t>
      </w:r>
      <w:proofErr w:type="gramStart"/>
      <w:r w:rsidR="007B2C44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評鑑評鑑</w:t>
      </w:r>
      <w:proofErr w:type="gramEnd"/>
      <w:r w:rsidR="007B2C44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項目為</w:t>
      </w:r>
      <w:r w:rsidR="007B2C44">
        <w:rPr>
          <w:rFonts w:ascii="標楷體" w:eastAsia="標楷體" w:hAnsi="標楷體" w:cs="Times New Roman" w:hint="eastAsia"/>
          <w:sz w:val="28"/>
          <w:szCs w:val="28"/>
          <w:shd w:val="clear" w:color="auto" w:fill="FDFDFD"/>
        </w:rPr>
        <w:t>「有條件通過」或「未通過」之項目，進行</w:t>
      </w:r>
      <w:r w:rsidR="007B2C44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追蹤評鑑或</w:t>
      </w:r>
      <w:r w:rsidRPr="007B2C44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再評鑑</w:t>
      </w:r>
      <w:r w:rsidR="007B2C44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，各校歷經一年的自我改善期，於</w:t>
      </w:r>
      <w:r w:rsidR="00743049" w:rsidRPr="007B2C44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108</w:t>
      </w:r>
      <w:r w:rsidR="00743049" w:rsidRPr="007B2C44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年</w:t>
      </w:r>
      <w:r w:rsidR="00743049" w:rsidRPr="007B2C44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4</w:t>
      </w:r>
      <w:r w:rsidR="00743049" w:rsidRPr="007B2C44">
        <w:rPr>
          <w:rFonts w:ascii="Times New Roman" w:eastAsia="標楷體" w:hAnsi="標楷體" w:cs="Times New Roman"/>
          <w:sz w:val="28"/>
          <w:szCs w:val="28"/>
        </w:rPr>
        <w:t>月</w:t>
      </w:r>
      <w:r w:rsidR="00743049" w:rsidRPr="007B2C44">
        <w:rPr>
          <w:rFonts w:ascii="Times New Roman" w:eastAsia="標楷體" w:hAnsi="標楷體" w:cs="Times New Roman" w:hint="eastAsia"/>
          <w:sz w:val="28"/>
          <w:szCs w:val="28"/>
        </w:rPr>
        <w:t>29</w:t>
      </w:r>
      <w:r w:rsidR="00743049" w:rsidRPr="007B2C44">
        <w:rPr>
          <w:rFonts w:ascii="Times New Roman" w:eastAsia="標楷體" w:hAnsi="標楷體" w:cs="Times New Roman"/>
          <w:sz w:val="28"/>
          <w:szCs w:val="28"/>
        </w:rPr>
        <w:t>日至</w:t>
      </w:r>
      <w:r w:rsidR="00743049" w:rsidRPr="007B2C44">
        <w:rPr>
          <w:rFonts w:ascii="Times New Roman" w:eastAsia="標楷體" w:hAnsi="標楷體" w:cs="Times New Roman" w:hint="eastAsia"/>
          <w:sz w:val="28"/>
          <w:szCs w:val="28"/>
        </w:rPr>
        <w:t>5</w:t>
      </w:r>
      <w:r w:rsidR="00743049" w:rsidRPr="007B2C44">
        <w:rPr>
          <w:rFonts w:ascii="Times New Roman" w:eastAsia="標楷體" w:hAnsi="標楷體" w:cs="Times New Roman"/>
          <w:sz w:val="28"/>
          <w:szCs w:val="28"/>
        </w:rPr>
        <w:t>月</w:t>
      </w:r>
      <w:r w:rsidR="00743049" w:rsidRPr="007B2C44">
        <w:rPr>
          <w:rFonts w:ascii="Times New Roman" w:eastAsia="標楷體" w:hAnsi="標楷體" w:cs="Times New Roman" w:hint="eastAsia"/>
          <w:sz w:val="28"/>
          <w:szCs w:val="28"/>
        </w:rPr>
        <w:t>30</w:t>
      </w:r>
      <w:r w:rsidR="00743049" w:rsidRPr="007B2C44">
        <w:rPr>
          <w:rFonts w:ascii="Times New Roman" w:eastAsia="標楷體" w:hAnsi="標楷體" w:cs="Times New Roman"/>
          <w:sz w:val="28"/>
          <w:szCs w:val="28"/>
        </w:rPr>
        <w:t>日</w:t>
      </w:r>
      <w:r w:rsidR="00743049" w:rsidRPr="007B2C44">
        <w:rPr>
          <w:rFonts w:ascii="Times New Roman" w:eastAsia="標楷體" w:hAnsi="標楷體" w:cs="Times New Roman" w:hint="eastAsia"/>
          <w:sz w:val="28"/>
          <w:szCs w:val="28"/>
        </w:rPr>
        <w:t>進行</w:t>
      </w:r>
      <w:r w:rsidR="00743049" w:rsidRPr="007B2C44">
        <w:rPr>
          <w:rFonts w:ascii="Times New Roman" w:eastAsia="標楷體" w:hAnsi="標楷體" w:cs="Times New Roman"/>
          <w:sz w:val="28"/>
          <w:szCs w:val="28"/>
        </w:rPr>
        <w:t>實地訪評</w:t>
      </w:r>
      <w:r w:rsidR="00743049" w:rsidRPr="007B2C44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。</w:t>
      </w:r>
    </w:p>
    <w:p w:rsidR="0013188D" w:rsidRPr="006B5270" w:rsidRDefault="006B5270" w:rsidP="00F66F8E">
      <w:pPr>
        <w:spacing w:before="100" w:beforeAutospacing="1" w:after="100" w:afterAutospacing="1" w:line="430" w:lineRule="exac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  <w:shd w:val="clear" w:color="auto" w:fill="FDFDFD"/>
        </w:rPr>
      </w:pPr>
      <w:r>
        <w:rPr>
          <w:rFonts w:ascii="Times New Roman" w:eastAsia="標楷體" w:hAnsi="標楷體" w:cs="Times New Roman"/>
          <w:b/>
          <w:color w:val="000000" w:themeColor="text1"/>
          <w:sz w:val="32"/>
          <w:szCs w:val="32"/>
          <w:u w:val="single"/>
          <w:shd w:val="clear" w:color="auto" w:fill="FDFDFD"/>
        </w:rPr>
        <w:t>◎</w:t>
      </w:r>
      <w:r w:rsidR="00743049" w:rsidRPr="00743049">
        <w:rPr>
          <w:rFonts w:ascii="Times New Roman" w:eastAsia="標楷體" w:hAnsi="標楷體" w:cs="Times New Roman"/>
          <w:b/>
          <w:color w:val="000000" w:themeColor="text1"/>
          <w:sz w:val="32"/>
          <w:szCs w:val="32"/>
          <w:u w:val="single"/>
          <w:shd w:val="clear" w:color="auto" w:fill="FDFDFD"/>
        </w:rPr>
        <w:t>第二週期大學校院校務評鑑</w:t>
      </w:r>
      <w:r w:rsidR="00743049" w:rsidRPr="00743049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  <w:u w:val="single"/>
          <w:shd w:val="clear" w:color="auto" w:fill="FDFDFD"/>
        </w:rPr>
        <w:t>追蹤評鑑與再評鑑</w:t>
      </w:r>
      <w:r w:rsidR="0013188D" w:rsidRPr="006B5270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  <w:u w:val="single"/>
          <w:shd w:val="clear" w:color="auto" w:fill="FDFDFD"/>
        </w:rPr>
        <w:t>結果</w:t>
      </w:r>
    </w:p>
    <w:p w:rsidR="0056360B" w:rsidRPr="00EF07F4" w:rsidRDefault="009D7620" w:rsidP="0056360B">
      <w:pPr>
        <w:spacing w:line="48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2C44">
        <w:rPr>
          <w:rFonts w:ascii="Times New Roman" w:eastAsia="標楷體" w:hAnsi="Times New Roman" w:cs="Times New Roman" w:hint="eastAsia"/>
          <w:sz w:val="28"/>
          <w:szCs w:val="28"/>
        </w:rPr>
        <w:t>有關</w:t>
      </w:r>
      <w:proofErr w:type="gramStart"/>
      <w:r w:rsidR="00743049" w:rsidRPr="007B2C44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106</w:t>
      </w:r>
      <w:proofErr w:type="gramEnd"/>
      <w:r w:rsidR="00743049" w:rsidRPr="007B2C44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年度上半年</w:t>
      </w:r>
      <w:r w:rsidR="00743049" w:rsidRPr="007B2C44">
        <w:rPr>
          <w:rFonts w:ascii="Times New Roman" w:eastAsia="標楷體" w:hAnsi="標楷體" w:cs="Times New Roman"/>
          <w:sz w:val="28"/>
          <w:szCs w:val="28"/>
          <w:shd w:val="clear" w:color="auto" w:fill="FDFDFD"/>
        </w:rPr>
        <w:t>第二週期大學校院校務評鑑</w:t>
      </w:r>
      <w:r w:rsidR="00743049" w:rsidRPr="007B2C44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追蹤評鑑與再評鑑</w:t>
      </w:r>
      <w:r w:rsidRPr="007B2C4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43049" w:rsidRPr="007B2C44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除</w:t>
      </w:r>
      <w:r w:rsidR="00743049" w:rsidRPr="007B2C44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1</w:t>
      </w:r>
      <w:r w:rsidR="00743049" w:rsidRPr="007B2C44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所軍事校院外，另有</w:t>
      </w:r>
      <w:r w:rsidR="00743049" w:rsidRPr="007B2C44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8</w:t>
      </w:r>
      <w:r w:rsidR="00743049" w:rsidRPr="007B2C44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所一般大學接受追蹤評鑑；其中中信金融管理學院項目一、二皆</w:t>
      </w:r>
      <w:r w:rsidR="00743049" w:rsidRPr="007B2C44">
        <w:rPr>
          <w:rFonts w:ascii="Times New Roman" w:eastAsia="標楷體" w:hAnsi="Times New Roman" w:cs="Times New Roman" w:hint="eastAsia"/>
          <w:sz w:val="28"/>
          <w:szCs w:val="28"/>
        </w:rPr>
        <w:t>為「通過」、</w:t>
      </w:r>
      <w:r w:rsidR="00743049" w:rsidRPr="007B2C44">
        <w:rPr>
          <w:rFonts w:ascii="Times New Roman" w:eastAsia="標楷體" w:hAnsi="標楷體" w:hint="eastAsia"/>
          <w:color w:val="000000"/>
          <w:kern w:val="0"/>
          <w:sz w:val="28"/>
          <w:szCs w:val="28"/>
        </w:rPr>
        <w:t>台灣首府大學</w:t>
      </w:r>
      <w:r w:rsidR="00743049" w:rsidRPr="007B2C44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項目</w:t>
      </w:r>
      <w:proofErr w:type="gramStart"/>
      <w:r w:rsidR="00743049" w:rsidRPr="007B2C44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一</w:t>
      </w:r>
      <w:proofErr w:type="gramEnd"/>
      <w:r w:rsidR="00743049" w:rsidRPr="007B2C44">
        <w:rPr>
          <w:rFonts w:ascii="Times New Roman" w:eastAsia="標楷體" w:hAnsi="Times New Roman" w:cs="Times New Roman" w:hint="eastAsia"/>
          <w:sz w:val="28"/>
          <w:szCs w:val="28"/>
        </w:rPr>
        <w:t>「通過」、</w:t>
      </w:r>
      <w:r w:rsidR="00743049" w:rsidRPr="007B2C44">
        <w:rPr>
          <w:rFonts w:ascii="Times New Roman" w:eastAsia="標楷體" w:hAnsi="標楷體" w:hint="eastAsia"/>
          <w:color w:val="000000"/>
          <w:kern w:val="0"/>
          <w:sz w:val="28"/>
          <w:szCs w:val="28"/>
        </w:rPr>
        <w:t>高雄市立空中大學項目四</w:t>
      </w:r>
      <w:r w:rsidR="00743049" w:rsidRPr="007B2C44">
        <w:rPr>
          <w:rFonts w:ascii="Times New Roman" w:eastAsia="標楷體" w:hAnsi="Times New Roman" w:cs="Times New Roman" w:hint="eastAsia"/>
          <w:sz w:val="28"/>
          <w:szCs w:val="28"/>
        </w:rPr>
        <w:t>「通過」、</w:t>
      </w:r>
      <w:r w:rsidR="00743049" w:rsidRPr="007B2C44">
        <w:rPr>
          <w:rFonts w:ascii="Times New Roman" w:eastAsia="標楷體" w:hAnsi="標楷體" w:hint="eastAsia"/>
          <w:color w:val="000000"/>
          <w:kern w:val="0"/>
          <w:sz w:val="28"/>
          <w:szCs w:val="28"/>
        </w:rPr>
        <w:t>康寧大學</w:t>
      </w:r>
      <w:r w:rsidR="00743049" w:rsidRPr="007B2C44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項目</w:t>
      </w:r>
      <w:proofErr w:type="gramStart"/>
      <w:r w:rsidR="00743049" w:rsidRPr="007B2C44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一</w:t>
      </w:r>
      <w:proofErr w:type="gramEnd"/>
      <w:r w:rsidR="00743049" w:rsidRPr="007B2C44">
        <w:rPr>
          <w:rFonts w:ascii="Times New Roman" w:eastAsia="標楷體" w:hAnsi="Times New Roman" w:cs="Times New Roman" w:hint="eastAsia"/>
          <w:sz w:val="28"/>
          <w:szCs w:val="28"/>
        </w:rPr>
        <w:t>「通過」、</w:t>
      </w:r>
      <w:r w:rsidR="00743049" w:rsidRPr="007B2C44">
        <w:rPr>
          <w:rFonts w:ascii="Times New Roman" w:eastAsia="標楷體" w:hAnsi="標楷體" w:hint="eastAsia"/>
          <w:color w:val="000000"/>
          <w:kern w:val="0"/>
          <w:sz w:val="28"/>
          <w:szCs w:val="28"/>
        </w:rPr>
        <w:t>開南大學項目三</w:t>
      </w:r>
      <w:r w:rsidR="00743049" w:rsidRPr="007B2C44">
        <w:rPr>
          <w:rFonts w:ascii="Times New Roman" w:eastAsia="標楷體" w:hAnsi="Times New Roman" w:cs="Times New Roman" w:hint="eastAsia"/>
          <w:sz w:val="28"/>
          <w:szCs w:val="28"/>
        </w:rPr>
        <w:t>「通過」、</w:t>
      </w:r>
      <w:proofErr w:type="gramStart"/>
      <w:r w:rsidR="00743049" w:rsidRPr="007B2C44">
        <w:rPr>
          <w:rFonts w:ascii="Times New Roman" w:eastAsia="標楷體" w:hAnsi="標楷體" w:hint="eastAsia"/>
          <w:color w:val="000000"/>
          <w:kern w:val="0"/>
          <w:sz w:val="28"/>
          <w:szCs w:val="28"/>
        </w:rPr>
        <w:t>臺</w:t>
      </w:r>
      <w:proofErr w:type="gramEnd"/>
      <w:r w:rsidR="00743049" w:rsidRPr="007B2C44">
        <w:rPr>
          <w:rFonts w:ascii="Times New Roman" w:eastAsia="標楷體" w:hAnsi="標楷體" w:hint="eastAsia"/>
          <w:color w:val="000000"/>
          <w:kern w:val="0"/>
          <w:sz w:val="28"/>
          <w:szCs w:val="28"/>
        </w:rPr>
        <w:t>北基督學院</w:t>
      </w:r>
      <w:r w:rsidR="00743049" w:rsidRPr="007B2C44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項目一、四皆</w:t>
      </w:r>
      <w:r w:rsidR="00743049" w:rsidRPr="007B2C44">
        <w:rPr>
          <w:rFonts w:ascii="Times New Roman" w:eastAsia="標楷體" w:hAnsi="Times New Roman" w:cs="Times New Roman" w:hint="eastAsia"/>
          <w:sz w:val="28"/>
          <w:szCs w:val="28"/>
        </w:rPr>
        <w:t>為「通過」、</w:t>
      </w:r>
      <w:r w:rsidR="00743049" w:rsidRPr="007B2C44">
        <w:rPr>
          <w:rFonts w:ascii="Times New Roman" w:eastAsia="標楷體" w:hAnsi="標楷體" w:hint="eastAsia"/>
          <w:color w:val="000000"/>
          <w:kern w:val="0"/>
          <w:sz w:val="28"/>
          <w:szCs w:val="28"/>
        </w:rPr>
        <w:t>稻江科技暨管理學院</w:t>
      </w:r>
      <w:r w:rsidR="00743049" w:rsidRPr="007B2C44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項目一、四皆</w:t>
      </w:r>
      <w:r w:rsidR="00743049" w:rsidRPr="007B2C44">
        <w:rPr>
          <w:rFonts w:ascii="Times New Roman" w:eastAsia="標楷體" w:hAnsi="Times New Roman" w:cs="Times New Roman" w:hint="eastAsia"/>
          <w:sz w:val="28"/>
          <w:szCs w:val="28"/>
        </w:rPr>
        <w:t>為「通過」</w:t>
      </w:r>
      <w:r w:rsidR="00D837BD" w:rsidRPr="007B2C4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proofErr w:type="gramStart"/>
      <w:r w:rsidR="00D837BD" w:rsidRPr="007B2C44">
        <w:rPr>
          <w:rFonts w:ascii="Times New Roman" w:eastAsia="標楷體" w:hAnsi="Times New Roman" w:cs="Times New Roman" w:hint="eastAsia"/>
          <w:sz w:val="28"/>
          <w:szCs w:val="28"/>
        </w:rPr>
        <w:t>然</w:t>
      </w:r>
      <w:r w:rsidR="00D837BD" w:rsidRPr="007B2C44">
        <w:rPr>
          <w:rFonts w:ascii="Times New Roman" w:eastAsia="標楷體" w:hAnsi="標楷體" w:hint="eastAsia"/>
          <w:color w:val="000000"/>
          <w:kern w:val="0"/>
          <w:sz w:val="28"/>
          <w:szCs w:val="28"/>
        </w:rPr>
        <w:t>法鼓</w:t>
      </w:r>
      <w:proofErr w:type="gramEnd"/>
      <w:r w:rsidR="00D837BD" w:rsidRPr="007B2C44">
        <w:rPr>
          <w:rFonts w:ascii="Times New Roman" w:eastAsia="標楷體" w:hAnsi="標楷體" w:hint="eastAsia"/>
          <w:color w:val="000000"/>
          <w:kern w:val="0"/>
          <w:sz w:val="28"/>
          <w:szCs w:val="28"/>
        </w:rPr>
        <w:t>文理學院項目四之結果仍為</w:t>
      </w:r>
      <w:r w:rsidR="00D837BD" w:rsidRPr="007B2C44">
        <w:rPr>
          <w:rFonts w:ascii="Times New Roman" w:eastAsia="標楷體" w:hAnsi="Times New Roman" w:cs="Times New Roman" w:hint="eastAsia"/>
          <w:sz w:val="28"/>
          <w:szCs w:val="28"/>
        </w:rPr>
        <w:t>「有條件通過」，代表追蹤改善的情形仍未達到評鑑委員的預期。</w:t>
      </w:r>
      <w:r w:rsidR="00BE7009" w:rsidRPr="007B2C44">
        <w:rPr>
          <w:rFonts w:ascii="Times New Roman" w:eastAsia="標楷體" w:hAnsi="Times New Roman" w:cs="Times New Roman" w:hint="eastAsia"/>
          <w:sz w:val="28"/>
          <w:szCs w:val="28"/>
        </w:rPr>
        <w:t>未獲通過之原因</w:t>
      </w:r>
      <w:r w:rsidR="006874F7" w:rsidRPr="007B2C44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BE7009" w:rsidRPr="007B2C4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6360B" w:rsidRPr="00EF07F4">
        <w:rPr>
          <w:rFonts w:eastAsia="標楷體" w:hint="eastAsia"/>
          <w:sz w:val="28"/>
          <w:szCs w:val="28"/>
        </w:rPr>
        <w:t>該校雖修訂「評鑑實施辦法」，惟辦法訂定過程未盡周延，程序尚未完備，未能於自我改善期間完成自我評鑑機</w:t>
      </w:r>
      <w:r w:rsidR="00EF07F4">
        <w:rPr>
          <w:rFonts w:eastAsia="標楷體" w:hint="eastAsia"/>
          <w:sz w:val="28"/>
          <w:szCs w:val="28"/>
        </w:rPr>
        <w:t>制</w:t>
      </w:r>
      <w:r w:rsidR="0056360B" w:rsidRPr="00EF07F4">
        <w:rPr>
          <w:rFonts w:eastAsia="標楷體" w:hint="eastAsia"/>
          <w:sz w:val="28"/>
          <w:szCs w:val="28"/>
        </w:rPr>
        <w:t>與評鑑委員之設置。</w:t>
      </w:r>
      <w:proofErr w:type="gramStart"/>
      <w:r w:rsidR="0056360B" w:rsidRPr="00EF07F4">
        <w:rPr>
          <w:rFonts w:eastAsia="標楷體" w:hint="eastAsia"/>
          <w:sz w:val="28"/>
          <w:szCs w:val="28"/>
        </w:rPr>
        <w:t>此外，</w:t>
      </w:r>
      <w:proofErr w:type="gramEnd"/>
      <w:r w:rsidR="0056360B" w:rsidRPr="00EF07F4">
        <w:rPr>
          <w:rFonts w:eastAsia="標楷體" w:hint="eastAsia"/>
          <w:sz w:val="28"/>
          <w:szCs w:val="28"/>
        </w:rPr>
        <w:t>該校仍未針對雇主滿意度及互動關係人進行意見調查。</w:t>
      </w:r>
    </w:p>
    <w:p w:rsidR="0013188D" w:rsidRDefault="00B50DBE" w:rsidP="007B2C44">
      <w:pPr>
        <w:spacing w:line="480" w:lineRule="exact"/>
        <w:ind w:firstLineChars="200" w:firstLine="560"/>
        <w:jc w:val="both"/>
        <w:rPr>
          <w:rFonts w:ascii="Times New Roman" w:eastAsia="標楷體" w:hAnsi="標楷體" w:cs="Times New Roman"/>
          <w:sz w:val="26"/>
          <w:szCs w:val="26"/>
          <w:shd w:val="clear" w:color="auto" w:fill="FDFDFD"/>
        </w:rPr>
      </w:pPr>
      <w:r w:rsidRPr="007B2C44">
        <w:rPr>
          <w:rFonts w:ascii="Times New Roman" w:eastAsia="標楷體" w:hAnsi="Times New Roman" w:cs="Times New Roman" w:hint="eastAsia"/>
          <w:sz w:val="28"/>
          <w:szCs w:val="28"/>
          <w:shd w:val="clear" w:color="auto" w:fill="FDFDFD"/>
        </w:rPr>
        <w:t>有關</w:t>
      </w:r>
      <w:proofErr w:type="gramStart"/>
      <w:r w:rsidR="00743049" w:rsidRPr="007B2C44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106</w:t>
      </w:r>
      <w:proofErr w:type="gramEnd"/>
      <w:r w:rsidR="00743049" w:rsidRPr="007B2C44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年度上半年</w:t>
      </w:r>
      <w:r w:rsidR="00743049" w:rsidRPr="007B2C44">
        <w:rPr>
          <w:rFonts w:ascii="Times New Roman" w:eastAsia="標楷體" w:hAnsi="標楷體" w:cs="Times New Roman"/>
          <w:sz w:val="28"/>
          <w:szCs w:val="28"/>
          <w:shd w:val="clear" w:color="auto" w:fill="FDFDFD"/>
        </w:rPr>
        <w:t>第二週期大學校院校務評鑑</w:t>
      </w:r>
      <w:r w:rsidR="00743049" w:rsidRPr="007B2C44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追蹤評鑑與再評鑑</w:t>
      </w:r>
      <w:r w:rsidRPr="007B2C44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整體</w:t>
      </w:r>
      <w:r w:rsidR="0013188D" w:rsidRPr="007B2C44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結果如表</w:t>
      </w:r>
      <w:r w:rsidR="00743049" w:rsidRPr="007B2C44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1</w:t>
      </w:r>
      <w:r w:rsidR="0013188D" w:rsidRPr="007B2C44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：</w:t>
      </w:r>
    </w:p>
    <w:p w:rsidR="007B2C44" w:rsidRDefault="007B2C44" w:rsidP="007B2C44">
      <w:pPr>
        <w:spacing w:line="440" w:lineRule="exact"/>
        <w:ind w:firstLineChars="200" w:firstLine="520"/>
        <w:jc w:val="both"/>
        <w:rPr>
          <w:rFonts w:ascii="Times New Roman" w:eastAsia="標楷體" w:hAnsi="標楷體" w:cs="Times New Roman"/>
          <w:sz w:val="26"/>
          <w:szCs w:val="26"/>
          <w:shd w:val="clear" w:color="auto" w:fill="FDFDFD"/>
        </w:rPr>
      </w:pPr>
    </w:p>
    <w:p w:rsidR="008B416C" w:rsidRDefault="008B416C" w:rsidP="007B2C44">
      <w:pPr>
        <w:spacing w:line="440" w:lineRule="exact"/>
        <w:ind w:firstLineChars="200" w:firstLine="520"/>
        <w:jc w:val="both"/>
        <w:rPr>
          <w:rFonts w:ascii="Times New Roman" w:eastAsia="標楷體" w:hAnsi="標楷體" w:cs="Times New Roman"/>
          <w:sz w:val="26"/>
          <w:szCs w:val="26"/>
          <w:shd w:val="clear" w:color="auto" w:fill="FDFDFD"/>
        </w:rPr>
      </w:pPr>
    </w:p>
    <w:p w:rsidR="008B416C" w:rsidRDefault="008B416C" w:rsidP="007B2C44">
      <w:pPr>
        <w:spacing w:line="440" w:lineRule="exact"/>
        <w:ind w:firstLineChars="200" w:firstLine="520"/>
        <w:jc w:val="both"/>
        <w:rPr>
          <w:rFonts w:ascii="Times New Roman" w:eastAsia="標楷體" w:hAnsi="標楷體" w:cs="Times New Roman"/>
          <w:sz w:val="26"/>
          <w:szCs w:val="26"/>
          <w:shd w:val="clear" w:color="auto" w:fill="FDFDFD"/>
        </w:rPr>
      </w:pPr>
    </w:p>
    <w:p w:rsidR="008B416C" w:rsidRDefault="008B416C" w:rsidP="007B2C44">
      <w:pPr>
        <w:spacing w:line="440" w:lineRule="exact"/>
        <w:ind w:firstLineChars="200" w:firstLine="520"/>
        <w:jc w:val="both"/>
        <w:rPr>
          <w:rFonts w:ascii="Times New Roman" w:eastAsia="標楷體" w:hAnsi="標楷體" w:cs="Times New Roman"/>
          <w:sz w:val="26"/>
          <w:szCs w:val="26"/>
          <w:shd w:val="clear" w:color="auto" w:fill="FDFDFD"/>
        </w:rPr>
      </w:pPr>
    </w:p>
    <w:p w:rsidR="0013188D" w:rsidRPr="007B2C44" w:rsidRDefault="0013188D" w:rsidP="007B2C44">
      <w:pPr>
        <w:spacing w:line="480" w:lineRule="exact"/>
        <w:ind w:left="840" w:hangingChars="300" w:hanging="840"/>
        <w:rPr>
          <w:rFonts w:ascii="Times New Roman" w:eastAsia="標楷體" w:hAnsi="標楷體" w:cs="Times New Roman"/>
          <w:sz w:val="28"/>
          <w:szCs w:val="28"/>
          <w:shd w:val="clear" w:color="auto" w:fill="FDFDFD"/>
        </w:rPr>
      </w:pPr>
      <w:r w:rsidRPr="007B2C44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lastRenderedPageBreak/>
        <w:t>表</w:t>
      </w:r>
      <w:r w:rsidR="00743049" w:rsidRPr="007B2C44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1</w:t>
      </w:r>
      <w:r w:rsidRPr="007B2C44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、</w:t>
      </w:r>
      <w:r w:rsidR="00743049" w:rsidRPr="007B2C44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106</w:t>
      </w:r>
      <w:r w:rsidR="00743049" w:rsidRPr="007B2C44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年度上半年</w:t>
      </w:r>
      <w:r w:rsidR="00743049" w:rsidRPr="007B2C44">
        <w:rPr>
          <w:rFonts w:ascii="Times New Roman" w:eastAsia="標楷體" w:hAnsi="標楷體" w:cs="Times New Roman"/>
          <w:sz w:val="28"/>
          <w:szCs w:val="28"/>
          <w:shd w:val="clear" w:color="auto" w:fill="FDFDFD"/>
        </w:rPr>
        <w:t>第二週期大學校院校務評鑑</w:t>
      </w:r>
      <w:r w:rsidR="00743049" w:rsidRPr="007B2C44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追蹤評鑑與再評鑑</w:t>
      </w:r>
      <w:r w:rsidRPr="007B2C44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結果統計</w:t>
      </w:r>
    </w:p>
    <w:tbl>
      <w:tblPr>
        <w:tblW w:w="8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</w:tblGrid>
      <w:tr w:rsidR="00D837BD" w:rsidRPr="007B2C44" w:rsidTr="008D4758">
        <w:trPr>
          <w:trHeight w:val="397"/>
        </w:trPr>
        <w:tc>
          <w:tcPr>
            <w:tcW w:w="2090" w:type="dxa"/>
            <w:vAlign w:val="center"/>
          </w:tcPr>
          <w:p w:rsidR="00D837BD" w:rsidRPr="007B2C44" w:rsidRDefault="00D837BD" w:rsidP="007B2C44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7B2C44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評鑑項目</w:t>
            </w:r>
          </w:p>
        </w:tc>
        <w:tc>
          <w:tcPr>
            <w:tcW w:w="2090" w:type="dxa"/>
            <w:vAlign w:val="center"/>
          </w:tcPr>
          <w:p w:rsidR="00D837BD" w:rsidRPr="007B2C44" w:rsidRDefault="00D837BD" w:rsidP="007B2C44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7B2C44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通過</w:t>
            </w:r>
          </w:p>
        </w:tc>
        <w:tc>
          <w:tcPr>
            <w:tcW w:w="2090" w:type="dxa"/>
            <w:vAlign w:val="center"/>
          </w:tcPr>
          <w:p w:rsidR="00D837BD" w:rsidRPr="007B2C44" w:rsidRDefault="00D837BD" w:rsidP="007B2C44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7B2C44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有條件通過</w:t>
            </w:r>
          </w:p>
        </w:tc>
        <w:tc>
          <w:tcPr>
            <w:tcW w:w="2090" w:type="dxa"/>
            <w:vAlign w:val="center"/>
          </w:tcPr>
          <w:p w:rsidR="00D837BD" w:rsidRPr="007B2C44" w:rsidRDefault="00D837BD" w:rsidP="007B2C44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7B2C44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未通過</w:t>
            </w:r>
          </w:p>
        </w:tc>
      </w:tr>
      <w:tr w:rsidR="00D837BD" w:rsidRPr="007B2C44" w:rsidTr="008D4758">
        <w:trPr>
          <w:trHeight w:val="397"/>
        </w:trPr>
        <w:tc>
          <w:tcPr>
            <w:tcW w:w="2090" w:type="dxa"/>
            <w:vAlign w:val="center"/>
          </w:tcPr>
          <w:p w:rsidR="00D837BD" w:rsidRPr="007B2C44" w:rsidRDefault="00D837BD" w:rsidP="007B2C44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B2C4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項目</w:t>
            </w:r>
            <w:proofErr w:type="gramStart"/>
            <w:r w:rsidRPr="007B2C4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090" w:type="dxa"/>
            <w:vAlign w:val="center"/>
          </w:tcPr>
          <w:p w:rsidR="00D837BD" w:rsidRPr="007B2C44" w:rsidRDefault="00D837BD" w:rsidP="007B2C44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B2C4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90" w:type="dxa"/>
            <w:vAlign w:val="center"/>
          </w:tcPr>
          <w:p w:rsidR="00D837BD" w:rsidRPr="007B2C44" w:rsidRDefault="00D837BD" w:rsidP="007B2C44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B2C4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90" w:type="dxa"/>
            <w:vAlign w:val="center"/>
          </w:tcPr>
          <w:p w:rsidR="00D837BD" w:rsidRPr="007B2C44" w:rsidRDefault="00D837BD" w:rsidP="007B2C44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B2C4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0</w:t>
            </w:r>
          </w:p>
        </w:tc>
      </w:tr>
      <w:tr w:rsidR="00D837BD" w:rsidRPr="007B2C44" w:rsidTr="008D4758">
        <w:trPr>
          <w:trHeight w:val="397"/>
        </w:trPr>
        <w:tc>
          <w:tcPr>
            <w:tcW w:w="2090" w:type="dxa"/>
            <w:vAlign w:val="center"/>
          </w:tcPr>
          <w:p w:rsidR="00D837BD" w:rsidRPr="007B2C44" w:rsidRDefault="00D837BD" w:rsidP="007B2C44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B2C4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項目二</w:t>
            </w:r>
          </w:p>
        </w:tc>
        <w:tc>
          <w:tcPr>
            <w:tcW w:w="2090" w:type="dxa"/>
            <w:vAlign w:val="center"/>
          </w:tcPr>
          <w:p w:rsidR="00D837BD" w:rsidRPr="007B2C44" w:rsidRDefault="00D837BD" w:rsidP="007B2C44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B2C4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90" w:type="dxa"/>
            <w:vAlign w:val="center"/>
          </w:tcPr>
          <w:p w:rsidR="00D837BD" w:rsidRPr="007B2C44" w:rsidRDefault="00D837BD" w:rsidP="007B2C44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B2C4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90" w:type="dxa"/>
            <w:vAlign w:val="center"/>
          </w:tcPr>
          <w:p w:rsidR="00D837BD" w:rsidRPr="007B2C44" w:rsidRDefault="00D837BD" w:rsidP="007B2C44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B2C4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0</w:t>
            </w:r>
          </w:p>
        </w:tc>
      </w:tr>
      <w:tr w:rsidR="00D837BD" w:rsidRPr="007B2C44" w:rsidTr="008D4758">
        <w:trPr>
          <w:trHeight w:val="397"/>
        </w:trPr>
        <w:tc>
          <w:tcPr>
            <w:tcW w:w="2090" w:type="dxa"/>
            <w:vAlign w:val="center"/>
          </w:tcPr>
          <w:p w:rsidR="00D837BD" w:rsidRPr="007B2C44" w:rsidRDefault="00D837BD" w:rsidP="007B2C44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B2C4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項目三</w:t>
            </w:r>
          </w:p>
        </w:tc>
        <w:tc>
          <w:tcPr>
            <w:tcW w:w="2090" w:type="dxa"/>
            <w:vAlign w:val="center"/>
          </w:tcPr>
          <w:p w:rsidR="00D837BD" w:rsidRPr="007B2C44" w:rsidRDefault="00F9537C" w:rsidP="007B2C44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90" w:type="dxa"/>
            <w:vAlign w:val="center"/>
          </w:tcPr>
          <w:p w:rsidR="00D837BD" w:rsidRPr="007B2C44" w:rsidRDefault="00D837BD" w:rsidP="007B2C44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B2C4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90" w:type="dxa"/>
            <w:vAlign w:val="center"/>
          </w:tcPr>
          <w:p w:rsidR="00D837BD" w:rsidRPr="007B2C44" w:rsidRDefault="00D837BD" w:rsidP="007B2C44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B2C4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0</w:t>
            </w:r>
          </w:p>
        </w:tc>
      </w:tr>
      <w:tr w:rsidR="00D837BD" w:rsidRPr="007B2C44" w:rsidTr="008D4758">
        <w:trPr>
          <w:trHeight w:val="397"/>
        </w:trPr>
        <w:tc>
          <w:tcPr>
            <w:tcW w:w="2090" w:type="dxa"/>
            <w:vAlign w:val="center"/>
          </w:tcPr>
          <w:p w:rsidR="00D837BD" w:rsidRPr="007B2C44" w:rsidRDefault="00D837BD" w:rsidP="007B2C44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B2C4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項目四</w:t>
            </w:r>
          </w:p>
        </w:tc>
        <w:tc>
          <w:tcPr>
            <w:tcW w:w="2090" w:type="dxa"/>
            <w:vAlign w:val="center"/>
          </w:tcPr>
          <w:p w:rsidR="00D837BD" w:rsidRPr="007B2C44" w:rsidRDefault="00D837BD" w:rsidP="007B2C44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B2C4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90" w:type="dxa"/>
            <w:vAlign w:val="center"/>
          </w:tcPr>
          <w:p w:rsidR="00D837BD" w:rsidRPr="007B2C44" w:rsidRDefault="00D837BD" w:rsidP="007B2C44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B2C4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90" w:type="dxa"/>
            <w:vAlign w:val="center"/>
          </w:tcPr>
          <w:p w:rsidR="00D837BD" w:rsidRPr="007B2C44" w:rsidRDefault="00D837BD" w:rsidP="007B2C44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B2C4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0</w:t>
            </w:r>
          </w:p>
        </w:tc>
      </w:tr>
    </w:tbl>
    <w:p w:rsidR="00F66F8E" w:rsidRPr="00DC6122" w:rsidRDefault="00F66F8E" w:rsidP="0047527E">
      <w:pPr>
        <w:spacing w:beforeLines="50" w:before="180" w:afterLines="50" w:after="180" w:line="500" w:lineRule="exact"/>
        <w:rPr>
          <w:rFonts w:ascii="標楷體" w:eastAsia="標楷體" w:hAnsi="標楷體"/>
          <w:b/>
          <w:sz w:val="32"/>
          <w:szCs w:val="32"/>
          <w:u w:val="single"/>
        </w:rPr>
      </w:pPr>
      <w:r w:rsidRPr="00DC6122">
        <w:rPr>
          <w:rFonts w:ascii="標楷體" w:eastAsia="標楷體" w:hAnsi="標楷體" w:hint="eastAsia"/>
          <w:b/>
          <w:sz w:val="32"/>
          <w:szCs w:val="32"/>
          <w:u w:val="single"/>
        </w:rPr>
        <w:t>◎評鑑資訊公開上網  開放大眾查閱</w:t>
      </w:r>
    </w:p>
    <w:p w:rsidR="00F66F8E" w:rsidRPr="003C54CF" w:rsidRDefault="00F66F8E" w:rsidP="003C54CF">
      <w:pPr>
        <w:spacing w:line="48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C54CF">
        <w:rPr>
          <w:rFonts w:ascii="Times New Roman" w:eastAsia="標楷體" w:hAnsi="標楷體" w:cs="Times New Roman"/>
          <w:sz w:val="28"/>
          <w:szCs w:val="28"/>
        </w:rPr>
        <w:t>以上各受評單位的評鑑結果與「</w:t>
      </w:r>
      <w:r w:rsidR="007B2C44" w:rsidRPr="003C54CF">
        <w:rPr>
          <w:rFonts w:ascii="Times New Roman" w:eastAsia="標楷體" w:hAnsi="標楷體" w:cs="Times New Roman"/>
          <w:sz w:val="28"/>
          <w:szCs w:val="28"/>
        </w:rPr>
        <w:t>改善情形檢核表</w:t>
      </w:r>
      <w:r w:rsidRPr="003C54CF">
        <w:rPr>
          <w:rFonts w:ascii="Times New Roman" w:eastAsia="標楷體" w:hAnsi="標楷體" w:cs="Times New Roman"/>
          <w:sz w:val="28"/>
          <w:szCs w:val="28"/>
        </w:rPr>
        <w:t>」、「申復申請書」及「申復意見回覆說明」，皆已公告於高等教育評鑑中心網站</w:t>
      </w:r>
      <w:proofErr w:type="gramStart"/>
      <w:r w:rsidRPr="003C54CF">
        <w:rPr>
          <w:rFonts w:ascii="Times New Roman" w:eastAsia="標楷體" w:hAnsi="標楷體" w:cs="Times New Roman"/>
          <w:sz w:val="28"/>
          <w:szCs w:val="28"/>
        </w:rPr>
        <w:t>（</w:t>
      </w:r>
      <w:proofErr w:type="gramEnd"/>
      <w:r w:rsidR="00ED1707" w:rsidRPr="003C54CF">
        <w:fldChar w:fldCharType="begin"/>
      </w:r>
      <w:r w:rsidR="00ED1707" w:rsidRPr="003C54CF">
        <w:rPr>
          <w:sz w:val="28"/>
          <w:szCs w:val="28"/>
        </w:rPr>
        <w:instrText xml:space="preserve"> HYPERLINK "http://www.heeact.edu.tw/" </w:instrText>
      </w:r>
      <w:r w:rsidR="00ED1707" w:rsidRPr="003C54CF">
        <w:fldChar w:fldCharType="separate"/>
      </w:r>
      <w:r w:rsidR="007B2C44" w:rsidRPr="003C54CF">
        <w:rPr>
          <w:rStyle w:val="ab"/>
          <w:rFonts w:ascii="Times New Roman" w:eastAsia="標楷體" w:hAnsi="Times New Roman" w:cs="Times New Roman"/>
          <w:sz w:val="28"/>
          <w:szCs w:val="28"/>
        </w:rPr>
        <w:t>http://www.heeact.edu.tw/</w:t>
      </w:r>
      <w:r w:rsidR="00ED1707" w:rsidRPr="003C54CF">
        <w:rPr>
          <w:rStyle w:val="ab"/>
          <w:rFonts w:ascii="Times New Roman" w:eastAsia="標楷體" w:hAnsi="Times New Roman" w:cs="Times New Roman"/>
          <w:sz w:val="28"/>
          <w:szCs w:val="28"/>
        </w:rPr>
        <w:fldChar w:fldCharType="end"/>
      </w:r>
      <w:proofErr w:type="gramStart"/>
      <w:r w:rsidRPr="003C54CF">
        <w:rPr>
          <w:rFonts w:ascii="Times New Roman" w:eastAsia="標楷體" w:hAnsi="標楷體" w:cs="Times New Roman"/>
          <w:sz w:val="28"/>
          <w:szCs w:val="28"/>
        </w:rPr>
        <w:t>）</w:t>
      </w:r>
      <w:proofErr w:type="gramEnd"/>
      <w:r w:rsidRPr="003C54CF">
        <w:rPr>
          <w:rFonts w:ascii="Times New Roman" w:eastAsia="標楷體" w:hAnsi="標楷體" w:cs="Times New Roman"/>
          <w:sz w:val="28"/>
          <w:szCs w:val="28"/>
        </w:rPr>
        <w:t>。</w:t>
      </w:r>
      <w:bookmarkStart w:id="0" w:name="_GoBack"/>
      <w:bookmarkEnd w:id="0"/>
    </w:p>
    <w:p w:rsidR="00F66F8E" w:rsidRPr="003C54CF" w:rsidRDefault="00F66F8E" w:rsidP="003C54CF">
      <w:pPr>
        <w:spacing w:line="480" w:lineRule="exact"/>
        <w:ind w:firstLineChars="200" w:firstLine="560"/>
        <w:jc w:val="both"/>
        <w:rPr>
          <w:rFonts w:ascii="Times New Roman" w:eastAsia="標楷體" w:hAnsi="標楷體" w:cs="Times New Roman"/>
          <w:sz w:val="28"/>
          <w:szCs w:val="28"/>
        </w:rPr>
      </w:pPr>
      <w:r w:rsidRPr="003C54CF">
        <w:rPr>
          <w:rFonts w:ascii="Times New Roman" w:eastAsia="標楷體" w:hAnsi="標楷體" w:cs="Times New Roman"/>
          <w:sz w:val="28"/>
          <w:szCs w:val="28"/>
        </w:rPr>
        <w:t>此次</w:t>
      </w:r>
      <w:proofErr w:type="gramStart"/>
      <w:r w:rsidR="007B2C44" w:rsidRPr="003C54CF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106</w:t>
      </w:r>
      <w:proofErr w:type="gramEnd"/>
      <w:r w:rsidR="007B2C44" w:rsidRPr="003C54CF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年度上半年</w:t>
      </w:r>
      <w:r w:rsidR="007B2C44" w:rsidRPr="003C54CF">
        <w:rPr>
          <w:rFonts w:ascii="Times New Roman" w:eastAsia="標楷體" w:hAnsi="標楷體" w:cs="Times New Roman"/>
          <w:sz w:val="28"/>
          <w:szCs w:val="28"/>
          <w:shd w:val="clear" w:color="auto" w:fill="FDFDFD"/>
        </w:rPr>
        <w:t>第二週期大學校院校務評鑑</w:t>
      </w:r>
      <w:r w:rsidR="007B2C44" w:rsidRPr="003C54CF">
        <w:rPr>
          <w:rFonts w:ascii="Times New Roman" w:eastAsia="標楷體" w:hAnsi="標楷體" w:cs="Times New Roman" w:hint="eastAsia"/>
          <w:sz w:val="28"/>
          <w:szCs w:val="28"/>
          <w:shd w:val="clear" w:color="auto" w:fill="FDFDFD"/>
        </w:rPr>
        <w:t>追蹤評鑑與再評鑑</w:t>
      </w:r>
      <w:r w:rsidR="0074690D" w:rsidRPr="003C54CF">
        <w:rPr>
          <w:rFonts w:ascii="Times New Roman" w:eastAsia="標楷體" w:hAnsi="Times New Roman" w:cs="Times New Roman" w:hint="eastAsia"/>
          <w:sz w:val="28"/>
          <w:szCs w:val="28"/>
          <w:shd w:val="clear" w:color="auto" w:fill="FDFDFD"/>
        </w:rPr>
        <w:t>另有</w:t>
      </w:r>
      <w:r w:rsidR="007B2C44" w:rsidRPr="003C54CF">
        <w:rPr>
          <w:rFonts w:ascii="Times New Roman" w:eastAsia="標楷體" w:hAnsi="Times New Roman" w:cs="Times New Roman" w:hint="eastAsia"/>
          <w:sz w:val="28"/>
          <w:szCs w:val="28"/>
          <w:shd w:val="clear" w:color="auto" w:fill="FDFDFD"/>
        </w:rPr>
        <w:t>1</w:t>
      </w:r>
      <w:r w:rsidR="0074690D" w:rsidRPr="003C54CF">
        <w:rPr>
          <w:rFonts w:ascii="Times New Roman" w:eastAsia="標楷體" w:hAnsi="標楷體" w:cs="Times New Roman"/>
          <w:sz w:val="28"/>
          <w:szCs w:val="28"/>
        </w:rPr>
        <w:t>所軍</w:t>
      </w:r>
      <w:r w:rsidR="00A52561" w:rsidRPr="003C54CF">
        <w:rPr>
          <w:rFonts w:ascii="Times New Roman" w:eastAsia="標楷體" w:hAnsi="標楷體" w:cs="Times New Roman" w:hint="eastAsia"/>
          <w:sz w:val="28"/>
          <w:szCs w:val="28"/>
        </w:rPr>
        <w:t>事</w:t>
      </w:r>
      <w:r w:rsidR="0074690D" w:rsidRPr="003C54CF">
        <w:rPr>
          <w:rFonts w:ascii="Times New Roman" w:eastAsia="標楷體" w:hAnsi="標楷體" w:cs="Times New Roman"/>
          <w:sz w:val="28"/>
          <w:szCs w:val="28"/>
        </w:rPr>
        <w:t>校院受評</w:t>
      </w:r>
      <w:r w:rsidR="0074690D" w:rsidRPr="003C54CF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Pr="003C54CF">
        <w:rPr>
          <w:rFonts w:ascii="Times New Roman" w:eastAsia="標楷體" w:hAnsi="標楷體" w:cs="Times New Roman"/>
          <w:sz w:val="28"/>
          <w:szCs w:val="28"/>
        </w:rPr>
        <w:t>評鑑結果將由教育部函知國防部處理，不予公告。</w:t>
      </w:r>
    </w:p>
    <w:p w:rsidR="00F66F8E" w:rsidRPr="003C54CF" w:rsidRDefault="007B2C44" w:rsidP="003C54CF">
      <w:pPr>
        <w:spacing w:line="480" w:lineRule="exact"/>
        <w:ind w:firstLineChars="200" w:firstLine="560"/>
        <w:jc w:val="both"/>
        <w:rPr>
          <w:rFonts w:ascii="Times New Roman" w:eastAsia="標楷體" w:hAnsi="標楷體" w:cs="Times New Roman"/>
          <w:sz w:val="28"/>
          <w:szCs w:val="28"/>
        </w:rPr>
      </w:pPr>
      <w:r w:rsidRPr="003C54CF">
        <w:rPr>
          <w:rFonts w:ascii="Times New Roman" w:eastAsia="標楷體" w:hAnsi="標楷體" w:cs="Times New Roman" w:hint="eastAsia"/>
          <w:sz w:val="28"/>
          <w:szCs w:val="28"/>
        </w:rPr>
        <w:t>受評學校於收到評鑑結果後，</w:t>
      </w:r>
      <w:r w:rsidRPr="003C54CF">
        <w:rPr>
          <w:rFonts w:ascii="Times New Roman" w:eastAsia="標楷體" w:hAnsi="標楷體" w:cs="Times New Roman"/>
          <w:sz w:val="28"/>
          <w:szCs w:val="28"/>
        </w:rPr>
        <w:t>若對評鑑結果不服，則可提出申訴，</w:t>
      </w:r>
      <w:r w:rsidRPr="003C54CF">
        <w:rPr>
          <w:rFonts w:ascii="Times New Roman" w:eastAsia="標楷體" w:hAnsi="標楷體" w:cs="Times New Roman" w:hint="eastAsia"/>
          <w:sz w:val="28"/>
          <w:szCs w:val="28"/>
        </w:rPr>
        <w:t>高教評鑑中心將</w:t>
      </w:r>
      <w:r w:rsidRPr="003C54CF">
        <w:rPr>
          <w:rFonts w:ascii="Times New Roman" w:eastAsia="標楷體" w:hAnsi="標楷體" w:cs="Times New Roman"/>
          <w:sz w:val="28"/>
          <w:szCs w:val="28"/>
        </w:rPr>
        <w:t>召開申訴評議委員會辦理後續</w:t>
      </w:r>
      <w:r w:rsidRPr="003C54CF">
        <w:rPr>
          <w:rFonts w:ascii="Times New Roman" w:eastAsia="標楷體" w:hAnsi="標楷體" w:cs="Times New Roman" w:hint="eastAsia"/>
          <w:sz w:val="28"/>
          <w:szCs w:val="28"/>
        </w:rPr>
        <w:t>相關</w:t>
      </w:r>
      <w:r w:rsidRPr="003C54CF">
        <w:rPr>
          <w:rFonts w:ascii="Times New Roman" w:eastAsia="標楷體" w:hAnsi="標楷體" w:cs="Times New Roman"/>
          <w:sz w:val="28"/>
          <w:szCs w:val="28"/>
        </w:rPr>
        <w:t>事宜。</w:t>
      </w:r>
    </w:p>
    <w:sectPr w:rsidR="00F66F8E" w:rsidRPr="003C54CF" w:rsidSect="00EE2B20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0FB" w:rsidRDefault="00E420FB" w:rsidP="00616CB2">
      <w:r>
        <w:separator/>
      </w:r>
    </w:p>
  </w:endnote>
  <w:endnote w:type="continuationSeparator" w:id="0">
    <w:p w:rsidR="00E420FB" w:rsidRDefault="00E420FB" w:rsidP="0061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37087"/>
      <w:docPartObj>
        <w:docPartGallery w:val="Page Numbers (Bottom of Page)"/>
        <w:docPartUnique/>
      </w:docPartObj>
    </w:sdtPr>
    <w:sdtEndPr/>
    <w:sdtContent>
      <w:p w:rsidR="001A3A53" w:rsidRDefault="00514E1F">
        <w:pPr>
          <w:pStyle w:val="a6"/>
          <w:jc w:val="center"/>
        </w:pPr>
        <w:r>
          <w:fldChar w:fldCharType="begin"/>
        </w:r>
        <w:r w:rsidR="00CD16EC">
          <w:instrText xml:space="preserve"> PAGE   \* MERGEFORMAT </w:instrText>
        </w:r>
        <w:r>
          <w:fldChar w:fldCharType="separate"/>
        </w:r>
        <w:r w:rsidR="00795A5B" w:rsidRPr="00795A5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A3A53" w:rsidRDefault="001A3A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0FB" w:rsidRDefault="00E420FB" w:rsidP="00616CB2">
      <w:r>
        <w:separator/>
      </w:r>
    </w:p>
  </w:footnote>
  <w:footnote w:type="continuationSeparator" w:id="0">
    <w:p w:rsidR="00E420FB" w:rsidRDefault="00E420FB" w:rsidP="0061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8E" w:rsidRPr="00F66F8E" w:rsidRDefault="00F66F8E">
    <w:pPr>
      <w:pStyle w:val="a4"/>
    </w:pPr>
    <w:r>
      <w:rPr>
        <w:rFonts w:hint="eastAsia"/>
        <w:noProof/>
      </w:rPr>
      <w:drawing>
        <wp:inline distT="0" distB="0" distL="0" distR="0">
          <wp:extent cx="190500" cy="203200"/>
          <wp:effectExtent l="19050" t="0" r="0" b="0"/>
          <wp:docPr id="3" name="圖片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20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>財團法人高等教育評鑑中心基金會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45A63"/>
    <w:multiLevelType w:val="hybridMultilevel"/>
    <w:tmpl w:val="2E68A6E8"/>
    <w:lvl w:ilvl="0" w:tplc="EE96A84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587280"/>
    <w:multiLevelType w:val="hybridMultilevel"/>
    <w:tmpl w:val="ECB69AF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67947767"/>
    <w:multiLevelType w:val="hybridMultilevel"/>
    <w:tmpl w:val="1B2A7BC4"/>
    <w:lvl w:ilvl="0" w:tplc="7A3CD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C11670"/>
    <w:multiLevelType w:val="hybridMultilevel"/>
    <w:tmpl w:val="BA4216D8"/>
    <w:lvl w:ilvl="0" w:tplc="AB52D2F6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59"/>
    <w:rsid w:val="00017E81"/>
    <w:rsid w:val="00026EB8"/>
    <w:rsid w:val="00030474"/>
    <w:rsid w:val="00031026"/>
    <w:rsid w:val="0003415C"/>
    <w:rsid w:val="00041A28"/>
    <w:rsid w:val="00051982"/>
    <w:rsid w:val="00087F41"/>
    <w:rsid w:val="000C0A7E"/>
    <w:rsid w:val="000C4205"/>
    <w:rsid w:val="000C5CE7"/>
    <w:rsid w:val="000D0B8E"/>
    <w:rsid w:val="000E4461"/>
    <w:rsid w:val="000E705C"/>
    <w:rsid w:val="00103659"/>
    <w:rsid w:val="00112F59"/>
    <w:rsid w:val="00116E02"/>
    <w:rsid w:val="0013188D"/>
    <w:rsid w:val="00156551"/>
    <w:rsid w:val="00187A6D"/>
    <w:rsid w:val="001A3A53"/>
    <w:rsid w:val="001B6D04"/>
    <w:rsid w:val="001D29DE"/>
    <w:rsid w:val="001E3780"/>
    <w:rsid w:val="001E513A"/>
    <w:rsid w:val="001F4B90"/>
    <w:rsid w:val="00203D93"/>
    <w:rsid w:val="00204571"/>
    <w:rsid w:val="00231582"/>
    <w:rsid w:val="00241F82"/>
    <w:rsid w:val="00252753"/>
    <w:rsid w:val="00255845"/>
    <w:rsid w:val="00282E2C"/>
    <w:rsid w:val="00291FC7"/>
    <w:rsid w:val="002A476D"/>
    <w:rsid w:val="002B07C7"/>
    <w:rsid w:val="002B12D1"/>
    <w:rsid w:val="002F3809"/>
    <w:rsid w:val="002F6C4A"/>
    <w:rsid w:val="0031203C"/>
    <w:rsid w:val="00333DFE"/>
    <w:rsid w:val="0033400F"/>
    <w:rsid w:val="00364D76"/>
    <w:rsid w:val="00372715"/>
    <w:rsid w:val="00375A1A"/>
    <w:rsid w:val="003A3F07"/>
    <w:rsid w:val="003A4381"/>
    <w:rsid w:val="003A72BE"/>
    <w:rsid w:val="003B2A1B"/>
    <w:rsid w:val="003C54CF"/>
    <w:rsid w:val="003C7156"/>
    <w:rsid w:val="003D35AC"/>
    <w:rsid w:val="003E48F8"/>
    <w:rsid w:val="003E53DD"/>
    <w:rsid w:val="003F2545"/>
    <w:rsid w:val="003F3E7A"/>
    <w:rsid w:val="004205AE"/>
    <w:rsid w:val="004218FE"/>
    <w:rsid w:val="00423003"/>
    <w:rsid w:val="0047527E"/>
    <w:rsid w:val="00476EEA"/>
    <w:rsid w:val="004840EC"/>
    <w:rsid w:val="00485010"/>
    <w:rsid w:val="0048546F"/>
    <w:rsid w:val="00487860"/>
    <w:rsid w:val="004C206E"/>
    <w:rsid w:val="004C2852"/>
    <w:rsid w:val="004C2FAA"/>
    <w:rsid w:val="004D78D3"/>
    <w:rsid w:val="004E39C0"/>
    <w:rsid w:val="004E40DF"/>
    <w:rsid w:val="004E5B34"/>
    <w:rsid w:val="004E5BEB"/>
    <w:rsid w:val="004F2CB1"/>
    <w:rsid w:val="00501F05"/>
    <w:rsid w:val="00502FF0"/>
    <w:rsid w:val="005037B3"/>
    <w:rsid w:val="00510438"/>
    <w:rsid w:val="00514E1F"/>
    <w:rsid w:val="00523992"/>
    <w:rsid w:val="00524CAE"/>
    <w:rsid w:val="00525601"/>
    <w:rsid w:val="005514F3"/>
    <w:rsid w:val="0056360B"/>
    <w:rsid w:val="0059609F"/>
    <w:rsid w:val="005A35D9"/>
    <w:rsid w:val="005A6F36"/>
    <w:rsid w:val="005B195A"/>
    <w:rsid w:val="005B6580"/>
    <w:rsid w:val="005C03F6"/>
    <w:rsid w:val="005D011A"/>
    <w:rsid w:val="005D2A1C"/>
    <w:rsid w:val="005D7313"/>
    <w:rsid w:val="0061572F"/>
    <w:rsid w:val="00616CB2"/>
    <w:rsid w:val="00624DA4"/>
    <w:rsid w:val="00626AB1"/>
    <w:rsid w:val="00650475"/>
    <w:rsid w:val="00656228"/>
    <w:rsid w:val="00682BE9"/>
    <w:rsid w:val="006874F7"/>
    <w:rsid w:val="00697027"/>
    <w:rsid w:val="006B5270"/>
    <w:rsid w:val="006E6067"/>
    <w:rsid w:val="00700B36"/>
    <w:rsid w:val="00722AFE"/>
    <w:rsid w:val="0073041C"/>
    <w:rsid w:val="00732F06"/>
    <w:rsid w:val="00741D9F"/>
    <w:rsid w:val="00743049"/>
    <w:rsid w:val="00745A45"/>
    <w:rsid w:val="00746559"/>
    <w:rsid w:val="0074690D"/>
    <w:rsid w:val="00765AED"/>
    <w:rsid w:val="00766694"/>
    <w:rsid w:val="007767C0"/>
    <w:rsid w:val="00795A5B"/>
    <w:rsid w:val="007A5B07"/>
    <w:rsid w:val="007B2C44"/>
    <w:rsid w:val="007C15A2"/>
    <w:rsid w:val="007C2A87"/>
    <w:rsid w:val="007C6794"/>
    <w:rsid w:val="007D175C"/>
    <w:rsid w:val="007D5F69"/>
    <w:rsid w:val="007F46F3"/>
    <w:rsid w:val="007F4D98"/>
    <w:rsid w:val="00821525"/>
    <w:rsid w:val="008246A1"/>
    <w:rsid w:val="00827877"/>
    <w:rsid w:val="008500BC"/>
    <w:rsid w:val="00860A8E"/>
    <w:rsid w:val="0087137E"/>
    <w:rsid w:val="00887737"/>
    <w:rsid w:val="00891C32"/>
    <w:rsid w:val="00895CA5"/>
    <w:rsid w:val="008A2421"/>
    <w:rsid w:val="008B0FBD"/>
    <w:rsid w:val="008B416C"/>
    <w:rsid w:val="008D577B"/>
    <w:rsid w:val="008F1DA5"/>
    <w:rsid w:val="008F3DE7"/>
    <w:rsid w:val="008F6E2A"/>
    <w:rsid w:val="00900F8E"/>
    <w:rsid w:val="00911651"/>
    <w:rsid w:val="00912B8A"/>
    <w:rsid w:val="00917CCD"/>
    <w:rsid w:val="00923E37"/>
    <w:rsid w:val="00930B14"/>
    <w:rsid w:val="00960A0B"/>
    <w:rsid w:val="00981BB0"/>
    <w:rsid w:val="0099491A"/>
    <w:rsid w:val="009C0506"/>
    <w:rsid w:val="009C0FEC"/>
    <w:rsid w:val="009C6542"/>
    <w:rsid w:val="009D7620"/>
    <w:rsid w:val="009E4855"/>
    <w:rsid w:val="009E67AB"/>
    <w:rsid w:val="009F50CF"/>
    <w:rsid w:val="009F7B58"/>
    <w:rsid w:val="00A03420"/>
    <w:rsid w:val="00A515BE"/>
    <w:rsid w:val="00A52561"/>
    <w:rsid w:val="00A63F97"/>
    <w:rsid w:val="00A81791"/>
    <w:rsid w:val="00A97419"/>
    <w:rsid w:val="00AA5849"/>
    <w:rsid w:val="00AD4212"/>
    <w:rsid w:val="00AF70B1"/>
    <w:rsid w:val="00B342E5"/>
    <w:rsid w:val="00B50DBE"/>
    <w:rsid w:val="00B52E73"/>
    <w:rsid w:val="00B54A50"/>
    <w:rsid w:val="00B60E3D"/>
    <w:rsid w:val="00B61C33"/>
    <w:rsid w:val="00B77114"/>
    <w:rsid w:val="00B81020"/>
    <w:rsid w:val="00B81B8E"/>
    <w:rsid w:val="00B90902"/>
    <w:rsid w:val="00B95AE9"/>
    <w:rsid w:val="00B9636C"/>
    <w:rsid w:val="00BB5C29"/>
    <w:rsid w:val="00BB72A4"/>
    <w:rsid w:val="00BC6033"/>
    <w:rsid w:val="00BD5CD0"/>
    <w:rsid w:val="00BE2796"/>
    <w:rsid w:val="00BE4721"/>
    <w:rsid w:val="00BE48E7"/>
    <w:rsid w:val="00BE61B3"/>
    <w:rsid w:val="00BE7009"/>
    <w:rsid w:val="00BF2833"/>
    <w:rsid w:val="00C059CD"/>
    <w:rsid w:val="00C0790B"/>
    <w:rsid w:val="00C43C6D"/>
    <w:rsid w:val="00C75248"/>
    <w:rsid w:val="00C82E5A"/>
    <w:rsid w:val="00C9575E"/>
    <w:rsid w:val="00CA2ADE"/>
    <w:rsid w:val="00CA5170"/>
    <w:rsid w:val="00CB70CB"/>
    <w:rsid w:val="00CD16EC"/>
    <w:rsid w:val="00CD4B49"/>
    <w:rsid w:val="00CD5F8F"/>
    <w:rsid w:val="00CE44DA"/>
    <w:rsid w:val="00D06FAB"/>
    <w:rsid w:val="00D24845"/>
    <w:rsid w:val="00D36CB6"/>
    <w:rsid w:val="00D44438"/>
    <w:rsid w:val="00D50869"/>
    <w:rsid w:val="00D538A8"/>
    <w:rsid w:val="00D568AA"/>
    <w:rsid w:val="00D57152"/>
    <w:rsid w:val="00D6395B"/>
    <w:rsid w:val="00D837BD"/>
    <w:rsid w:val="00D91C74"/>
    <w:rsid w:val="00D9260D"/>
    <w:rsid w:val="00DA48C1"/>
    <w:rsid w:val="00DA5C34"/>
    <w:rsid w:val="00DC08FC"/>
    <w:rsid w:val="00DC7F76"/>
    <w:rsid w:val="00DE49FC"/>
    <w:rsid w:val="00DF6607"/>
    <w:rsid w:val="00E14382"/>
    <w:rsid w:val="00E35611"/>
    <w:rsid w:val="00E36F7C"/>
    <w:rsid w:val="00E420FB"/>
    <w:rsid w:val="00E94AD5"/>
    <w:rsid w:val="00EA5039"/>
    <w:rsid w:val="00EB1B18"/>
    <w:rsid w:val="00ED1707"/>
    <w:rsid w:val="00ED29AE"/>
    <w:rsid w:val="00EE2B20"/>
    <w:rsid w:val="00EF07F4"/>
    <w:rsid w:val="00F00298"/>
    <w:rsid w:val="00F02495"/>
    <w:rsid w:val="00F15130"/>
    <w:rsid w:val="00F178FC"/>
    <w:rsid w:val="00F2707A"/>
    <w:rsid w:val="00F315E9"/>
    <w:rsid w:val="00F34F51"/>
    <w:rsid w:val="00F35380"/>
    <w:rsid w:val="00F57D04"/>
    <w:rsid w:val="00F66F8E"/>
    <w:rsid w:val="00F67967"/>
    <w:rsid w:val="00F950D2"/>
    <w:rsid w:val="00F9537C"/>
    <w:rsid w:val="00F97DCB"/>
    <w:rsid w:val="00FB2392"/>
    <w:rsid w:val="00FC3A6D"/>
    <w:rsid w:val="00FF20EE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E622DD3-EEC6-4DDD-86CA-83B1756C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B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6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6C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6CB2"/>
    <w:rPr>
      <w:sz w:val="20"/>
      <w:szCs w:val="20"/>
    </w:rPr>
  </w:style>
  <w:style w:type="paragraph" w:styleId="a8">
    <w:name w:val="List Paragraph"/>
    <w:basedOn w:val="a"/>
    <w:uiPriority w:val="34"/>
    <w:qFormat/>
    <w:rsid w:val="00241F8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66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6F8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B2C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42A4D-8ACA-4849-B4E2-41258B3C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138</Words>
  <Characters>791</Characters>
  <Application>Microsoft Office Word</Application>
  <DocSecurity>0</DocSecurity>
  <Lines>6</Lines>
  <Paragraphs>1</Paragraphs>
  <ScaleCrop>false</ScaleCrop>
  <Company>財團法人高等教育評鑑中心基金會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林劭民</dc:creator>
  <cp:lastModifiedBy>林妍好</cp:lastModifiedBy>
  <cp:revision>6</cp:revision>
  <cp:lastPrinted>2019-12-04T05:54:00Z</cp:lastPrinted>
  <dcterms:created xsi:type="dcterms:W3CDTF">2019-11-20T06:14:00Z</dcterms:created>
  <dcterms:modified xsi:type="dcterms:W3CDTF">2019-12-31T00:31:00Z</dcterms:modified>
</cp:coreProperties>
</file>