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8E" w:rsidRPr="00A72D8E" w:rsidRDefault="00A72D8E" w:rsidP="00A72D8E">
      <w:pPr>
        <w:widowControl/>
        <w:spacing w:afterLines="50" w:after="180"/>
        <w:ind w:rightChars="-225" w:right="-540"/>
        <w:outlineLvl w:val="1"/>
        <w:rPr>
          <w:rFonts w:ascii="Times New Roman" w:eastAsia="標楷體" w:hAnsi="標楷體" w:cs="Times New Roman"/>
          <w:b/>
          <w:sz w:val="28"/>
          <w:szCs w:val="28"/>
        </w:rPr>
      </w:pPr>
      <w:bookmarkStart w:id="0" w:name="_Toc18502216"/>
      <w:r w:rsidRPr="00A72D8E">
        <w:rPr>
          <w:rFonts w:ascii="Times New Roman" w:eastAsia="標楷體" w:hAnsi="標楷體" w:cs="Times New Roman"/>
          <w:b/>
          <w:sz w:val="28"/>
          <w:szCs w:val="28"/>
        </w:rPr>
        <w:t>附錄</w:t>
      </w:r>
      <w:r w:rsidRPr="00A72D8E">
        <w:rPr>
          <w:rFonts w:ascii="Times New Roman" w:eastAsia="標楷體" w:hAnsi="標楷體" w:cs="Times New Roman" w:hint="eastAsia"/>
          <w:b/>
          <w:sz w:val="28"/>
          <w:szCs w:val="28"/>
        </w:rPr>
        <w:t>C</w:t>
      </w:r>
      <w:r w:rsidRPr="00A72D8E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A72D8E">
        <w:rPr>
          <w:rFonts w:ascii="Times New Roman" w:eastAsia="標楷體" w:hAnsi="標楷體" w:cs="Times New Roman" w:hint="eastAsia"/>
          <w:b/>
          <w:sz w:val="28"/>
          <w:szCs w:val="28"/>
        </w:rPr>
        <w:t>大專校院</w:t>
      </w:r>
      <w:proofErr w:type="gramStart"/>
      <w:r w:rsidRPr="00A72D8E">
        <w:rPr>
          <w:rFonts w:ascii="Times New Roman" w:eastAsia="標楷體" w:hAnsi="標楷體" w:cs="Times New Roman"/>
          <w:b/>
          <w:sz w:val="28"/>
          <w:szCs w:val="28"/>
        </w:rPr>
        <w:t>自辦品保</w:t>
      </w:r>
      <w:proofErr w:type="gramEnd"/>
      <w:r w:rsidRPr="00A72D8E">
        <w:rPr>
          <w:rFonts w:ascii="Times New Roman" w:eastAsia="標楷體" w:hAnsi="標楷體" w:cs="Times New Roman"/>
          <w:b/>
          <w:sz w:val="28"/>
          <w:szCs w:val="28"/>
        </w:rPr>
        <w:t>機制認定檢核表</w:t>
      </w:r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4820"/>
        <w:gridCol w:w="1388"/>
        <w:gridCol w:w="1389"/>
      </w:tblGrid>
      <w:tr w:rsidR="00A72D8E" w:rsidRPr="00A72D8E" w:rsidTr="00E12E49">
        <w:trPr>
          <w:trHeight w:val="411"/>
          <w:tblHeader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A72D8E" w:rsidRPr="00A72D8E" w:rsidRDefault="00A72D8E" w:rsidP="00A72D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檢核項目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72D8E" w:rsidRPr="00A72D8E" w:rsidRDefault="00A72D8E" w:rsidP="00A72D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D8E">
              <w:rPr>
                <w:rFonts w:ascii="標楷體" w:eastAsia="標楷體" w:hAnsi="標楷體" w:cs="Times New Roman" w:hint="eastAsia"/>
                <w:sz w:val="28"/>
                <w:szCs w:val="28"/>
              </w:rPr>
              <w:t>實施計畫</w:t>
            </w:r>
          </w:p>
          <w:p w:rsidR="00A72D8E" w:rsidRPr="00A72D8E" w:rsidRDefault="00A72D8E" w:rsidP="00A72D8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D8E">
              <w:rPr>
                <w:rFonts w:ascii="標楷體" w:eastAsia="標楷體" w:hAnsi="標楷體" w:cs="Times New Roman" w:hint="eastAsia"/>
                <w:sz w:val="28"/>
                <w:szCs w:val="28"/>
              </w:rPr>
              <w:t>對照頁數</w:t>
            </w: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D8E">
              <w:rPr>
                <w:rFonts w:ascii="標楷體" w:eastAsia="標楷體" w:hAnsi="標楷體" w:cs="Times New Roman" w:hint="eastAsia"/>
                <w:sz w:val="28"/>
                <w:szCs w:val="28"/>
              </w:rPr>
              <w:t>學校檢附</w:t>
            </w:r>
          </w:p>
          <w:p w:rsidR="00A72D8E" w:rsidRPr="00A72D8E" w:rsidRDefault="00A72D8E" w:rsidP="00A72D8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2D8E">
              <w:rPr>
                <w:rFonts w:ascii="標楷體" w:eastAsia="標楷體" w:hAnsi="標楷體" w:cs="Times New Roman" w:hint="eastAsia"/>
                <w:sz w:val="28"/>
                <w:szCs w:val="28"/>
              </w:rPr>
              <w:t>佐證資料</w:t>
            </w:r>
          </w:p>
        </w:tc>
      </w:tr>
      <w:tr w:rsidR="00A72D8E" w:rsidRPr="00A72D8E" w:rsidTr="00E12E49">
        <w:trPr>
          <w:trHeight w:val="683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</w:t>
            </w:r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辦法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相關辦法之訂定，須經行政會議或校務會議依學校相關規定程序通過後施行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1417"/>
          <w:jc w:val="center"/>
        </w:trPr>
        <w:tc>
          <w:tcPr>
            <w:tcW w:w="1475" w:type="dxa"/>
            <w:vMerge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明訂</w:t>
            </w:r>
            <w:proofErr w:type="gramStart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組織、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推動機制、品保範圍、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經費來源、時程、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專責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人員、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品保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項目、結果呈現方式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與公布程度，以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及結果應用等要項。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684"/>
          <w:jc w:val="center"/>
        </w:trPr>
        <w:tc>
          <w:tcPr>
            <w:tcW w:w="1475" w:type="dxa"/>
            <w:vMerge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依校內程序充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討論，合理可行，並予公告。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519"/>
          <w:jc w:val="center"/>
        </w:trPr>
        <w:tc>
          <w:tcPr>
            <w:tcW w:w="1475" w:type="dxa"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指導委員會之組織與運作</w:t>
            </w: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指導委員會校外委員人數占委員總數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3/5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以上，且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相關辦法已明定指導委員會之</w:t>
            </w:r>
            <w:r w:rsidRPr="00A72D8E">
              <w:rPr>
                <w:rFonts w:ascii="Times New Roman" w:eastAsia="標楷體" w:hAnsi="標楷體" w:cs="Times New Roman"/>
                <w:sz w:val="28"/>
                <w:szCs w:val="28"/>
              </w:rPr>
              <w:t>運作方式</w:t>
            </w:r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，包含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組成、任務及任期等。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1341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訪視委員</w:t>
            </w:r>
            <w:proofErr w:type="gramStart"/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遴聘與</w:t>
            </w:r>
            <w:proofErr w:type="gramEnd"/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研習</w:t>
            </w: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訪視委員之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人數、聘用程序、資格（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學術及評鑑專業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、研習機制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倫理與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利益迴避原則、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任期及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職責等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清楚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明</w:t>
            </w:r>
            <w:proofErr w:type="gramEnd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訂於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相關辦法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1082"/>
          <w:jc w:val="center"/>
        </w:trPr>
        <w:tc>
          <w:tcPr>
            <w:tcW w:w="1475" w:type="dxa"/>
            <w:vMerge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訪視委員須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2/3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以上由校外人士擔任，其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遴聘應</w:t>
            </w:r>
            <w:proofErr w:type="gramEnd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遵守專業性、公正性、嚴謹性以及倫理與利益迴避原則。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900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項目與指標</w:t>
            </w: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品保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指標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具整體性</w:t>
            </w:r>
            <w:proofErr w:type="gramEnd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與合理性，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並能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敘明品保</w:t>
            </w:r>
            <w:proofErr w:type="gramEnd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與指標之發展歷程與作法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900"/>
          <w:jc w:val="center"/>
        </w:trPr>
        <w:tc>
          <w:tcPr>
            <w:tcW w:w="1475" w:type="dxa"/>
            <w:vMerge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項目與指標，須含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括</w:t>
            </w:r>
            <w:proofErr w:type="gramEnd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目標與課程、師資與教學、學生與學習，以及辦學成效與自我改善機制等。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829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流程</w:t>
            </w: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自辦品保流程具管控</w:t>
            </w:r>
            <w:proofErr w:type="gramEnd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機制，以有效完成自我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品保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990"/>
          <w:jc w:val="center"/>
        </w:trPr>
        <w:tc>
          <w:tcPr>
            <w:tcW w:w="1475" w:type="dxa"/>
            <w:vMerge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自我評鑑報告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能採用多種方法蒐集並整合分析辦學資訊，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做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為</w:t>
            </w:r>
            <w:proofErr w:type="gramStart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自辦品保辦理參據</w:t>
            </w:r>
            <w:proofErr w:type="gramEnd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463"/>
          <w:jc w:val="center"/>
        </w:trPr>
        <w:tc>
          <w:tcPr>
            <w:tcW w:w="1475" w:type="dxa"/>
            <w:vMerge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實地訪視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包括受訪單位簡報、資料檢閱、場地與設備檢視及相關人員晤談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或座談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等程序。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1158"/>
          <w:jc w:val="center"/>
        </w:trPr>
        <w:tc>
          <w:tcPr>
            <w:tcW w:w="1475" w:type="dxa"/>
            <w:vMerge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流程內含申復機制，並明訂申復之要件及受理單位，以確保受訪單位權益。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1260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支持系統</w:t>
            </w: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對於系</w:t>
            </w:r>
            <w:proofErr w:type="gramEnd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</w:t>
            </w:r>
            <w:proofErr w:type="gramStart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提供必要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且明確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之經費、人力及行政支援（如辦法擬定、宣傳溝通、問題解答等）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754"/>
          <w:jc w:val="center"/>
        </w:trPr>
        <w:tc>
          <w:tcPr>
            <w:tcW w:w="1475" w:type="dxa"/>
            <w:vMerge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建立參與自</w:t>
            </w:r>
            <w:proofErr w:type="gramStart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辦品保校</w:t>
            </w:r>
            <w:proofErr w:type="gramEnd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內人員（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包括規劃人員及辦理人員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）相關研習機制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1620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結果公布與運用</w:t>
            </w: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應明訂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結果類別，且能對應本會評鑑結果之類型（「通過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效期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年」、「通過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效期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年」、「重新審查」）、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公布方式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以及公布程度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，並敘明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判定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結果之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依據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630"/>
          <w:jc w:val="center"/>
        </w:trPr>
        <w:tc>
          <w:tcPr>
            <w:tcW w:w="1475" w:type="dxa"/>
            <w:vMerge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結果運用方式確有助於辦學品質之提升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765"/>
          <w:jc w:val="center"/>
        </w:trPr>
        <w:tc>
          <w:tcPr>
            <w:tcW w:w="1475" w:type="dxa"/>
            <w:vMerge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應說明</w:t>
            </w:r>
            <w:proofErr w:type="gramStart"/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結果與校務發展中長程計畫結合之情形。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72D8E" w:rsidRPr="00A72D8E" w:rsidTr="00E12E49">
        <w:trPr>
          <w:trHeight w:val="617"/>
          <w:jc w:val="center"/>
        </w:trPr>
        <w:tc>
          <w:tcPr>
            <w:tcW w:w="1475" w:type="dxa"/>
            <w:shd w:val="clear" w:color="auto" w:fill="auto"/>
          </w:tcPr>
          <w:p w:rsidR="00A72D8E" w:rsidRPr="00A72D8E" w:rsidRDefault="00A72D8E" w:rsidP="00A72D8E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8.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改進機制</w:t>
            </w:r>
          </w:p>
        </w:tc>
        <w:tc>
          <w:tcPr>
            <w:tcW w:w="4820" w:type="dxa"/>
            <w:shd w:val="clear" w:color="auto" w:fill="auto"/>
          </w:tcPr>
          <w:p w:rsidR="00A72D8E" w:rsidRPr="00A72D8E" w:rsidRDefault="00A72D8E" w:rsidP="00A72D8E">
            <w:pPr>
              <w:numPr>
                <w:ilvl w:val="0"/>
                <w:numId w:val="9"/>
              </w:numPr>
              <w:spacing w:line="400" w:lineRule="exact"/>
              <w:ind w:left="5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D8E">
              <w:rPr>
                <w:rFonts w:ascii="Times New Roman" w:eastAsia="標楷體" w:hAnsi="標楷體" w:cs="Times New Roman"/>
                <w:sz w:val="28"/>
                <w:szCs w:val="28"/>
              </w:rPr>
              <w:t>應建立</w:t>
            </w:r>
            <w:proofErr w:type="gramStart"/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結果</w:t>
            </w:r>
            <w:r w:rsidRPr="00A72D8E">
              <w:rPr>
                <w:rFonts w:ascii="Times New Roman" w:eastAsia="標楷體" w:hAnsi="標楷體" w:cs="Times New Roman"/>
                <w:sz w:val="28"/>
                <w:szCs w:val="28"/>
              </w:rPr>
              <w:t>檢討改善機制，並訂有清楚</w:t>
            </w:r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明確</w:t>
            </w:r>
            <w:r w:rsidRPr="00A72D8E">
              <w:rPr>
                <w:rFonts w:ascii="Times New Roman" w:eastAsia="標楷體" w:hAnsi="標楷體" w:cs="Times New Roman"/>
                <w:sz w:val="28"/>
                <w:szCs w:val="28"/>
              </w:rPr>
              <w:t>之管考、處理與</w:t>
            </w:r>
            <w:r w:rsidRPr="00A72D8E">
              <w:rPr>
                <w:rFonts w:ascii="Times New Roman" w:eastAsia="標楷體" w:hAnsi="標楷體" w:cs="Times New Roman" w:hint="eastAsia"/>
                <w:sz w:val="28"/>
                <w:szCs w:val="28"/>
              </w:rPr>
              <w:t>運用</w:t>
            </w:r>
            <w:r w:rsidRPr="00A72D8E">
              <w:rPr>
                <w:rFonts w:ascii="Times New Roman" w:eastAsia="標楷體" w:hAnsi="標楷體" w:cs="Times New Roman"/>
                <w:sz w:val="28"/>
                <w:szCs w:val="28"/>
              </w:rPr>
              <w:t>機制，</w:t>
            </w:r>
            <w:proofErr w:type="gramStart"/>
            <w:r w:rsidRPr="00A72D8E">
              <w:rPr>
                <w:rFonts w:ascii="Times New Roman" w:eastAsia="標楷體" w:hAnsi="標楷體" w:cs="Times New Roman"/>
                <w:sz w:val="28"/>
                <w:szCs w:val="28"/>
              </w:rPr>
              <w:t>並能責付</w:t>
            </w:r>
            <w:proofErr w:type="gramEnd"/>
            <w:r w:rsidRPr="00A72D8E">
              <w:rPr>
                <w:rFonts w:ascii="Times New Roman" w:eastAsia="標楷體" w:hAnsi="標楷體" w:cs="Times New Roman"/>
                <w:sz w:val="28"/>
                <w:szCs w:val="28"/>
              </w:rPr>
              <w:t>專人或專責單位負責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監督</w:t>
            </w:r>
            <w:proofErr w:type="gramStart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A72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結果</w:t>
            </w:r>
            <w:r w:rsidRPr="00A72D8E">
              <w:rPr>
                <w:rFonts w:ascii="Times New Roman" w:eastAsia="標楷體" w:hAnsi="Times New Roman" w:cs="Times New Roman"/>
                <w:sz w:val="28"/>
                <w:szCs w:val="28"/>
              </w:rPr>
              <w:t>之改進</w:t>
            </w:r>
            <w:r w:rsidRPr="00A72D8E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1388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A72D8E" w:rsidRPr="00A72D8E" w:rsidRDefault="00A72D8E" w:rsidP="00A72D8E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320AE" w:rsidRPr="00A72D8E" w:rsidRDefault="006320AE">
      <w:bookmarkStart w:id="1" w:name="_GoBack"/>
      <w:bookmarkEnd w:id="1"/>
    </w:p>
    <w:sectPr w:rsidR="006320AE" w:rsidRPr="00A72D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7A" w:rsidRDefault="008B207A" w:rsidP="008B207A">
      <w:r>
        <w:separator/>
      </w:r>
    </w:p>
  </w:endnote>
  <w:endnote w:type="continuationSeparator" w:id="0">
    <w:p w:rsidR="008B207A" w:rsidRDefault="008B207A" w:rsidP="008B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774634"/>
      <w:docPartObj>
        <w:docPartGallery w:val="Page Numbers (Bottom of Page)"/>
        <w:docPartUnique/>
      </w:docPartObj>
    </w:sdtPr>
    <w:sdtContent>
      <w:p w:rsidR="008B207A" w:rsidRDefault="008B20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207A">
          <w:rPr>
            <w:noProof/>
            <w:lang w:val="zh-TW"/>
          </w:rPr>
          <w:t>2</w:t>
        </w:r>
        <w:r>
          <w:fldChar w:fldCharType="end"/>
        </w:r>
      </w:p>
    </w:sdtContent>
  </w:sdt>
  <w:p w:rsidR="008B207A" w:rsidRDefault="008B20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7A" w:rsidRDefault="008B207A" w:rsidP="008B207A">
      <w:r>
        <w:separator/>
      </w:r>
    </w:p>
  </w:footnote>
  <w:footnote w:type="continuationSeparator" w:id="0">
    <w:p w:rsidR="008B207A" w:rsidRDefault="008B207A" w:rsidP="008B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623"/>
    <w:multiLevelType w:val="hybridMultilevel"/>
    <w:tmpl w:val="504A9620"/>
    <w:lvl w:ilvl="0" w:tplc="C5DE5A92">
      <w:start w:val="1"/>
      <w:numFmt w:val="decimal"/>
      <w:lvlText w:val="6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77E97"/>
    <w:multiLevelType w:val="hybridMultilevel"/>
    <w:tmpl w:val="30A0F212"/>
    <w:lvl w:ilvl="0" w:tplc="865888EC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255BD"/>
    <w:multiLevelType w:val="hybridMultilevel"/>
    <w:tmpl w:val="116E1654"/>
    <w:lvl w:ilvl="0" w:tplc="4F0AABAA">
      <w:start w:val="1"/>
      <w:numFmt w:val="decimal"/>
      <w:lvlText w:val="4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C36A4"/>
    <w:multiLevelType w:val="hybridMultilevel"/>
    <w:tmpl w:val="D9423434"/>
    <w:lvl w:ilvl="0" w:tplc="C3B45120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52551E"/>
    <w:multiLevelType w:val="hybridMultilevel"/>
    <w:tmpl w:val="E9B6A4B0"/>
    <w:lvl w:ilvl="0" w:tplc="134837E2">
      <w:start w:val="1"/>
      <w:numFmt w:val="decimal"/>
      <w:lvlText w:val="7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BC022C"/>
    <w:multiLevelType w:val="hybridMultilevel"/>
    <w:tmpl w:val="9DDA3438"/>
    <w:lvl w:ilvl="0" w:tplc="AD1C769E">
      <w:start w:val="1"/>
      <w:numFmt w:val="decimal"/>
      <w:lvlText w:val="4-%1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D719FB"/>
    <w:multiLevelType w:val="hybridMultilevel"/>
    <w:tmpl w:val="D5640CE4"/>
    <w:lvl w:ilvl="0" w:tplc="882A2B6C">
      <w:start w:val="1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7D6BA3"/>
    <w:multiLevelType w:val="hybridMultilevel"/>
    <w:tmpl w:val="9CAC0172"/>
    <w:lvl w:ilvl="0" w:tplc="841EE292">
      <w:start w:val="1"/>
      <w:numFmt w:val="decimal"/>
      <w:lvlText w:val="5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FC2055"/>
    <w:multiLevelType w:val="hybridMultilevel"/>
    <w:tmpl w:val="081A28CA"/>
    <w:lvl w:ilvl="0" w:tplc="46A0CEAC">
      <w:start w:val="1"/>
      <w:numFmt w:val="decimal"/>
      <w:lvlText w:val="8-%1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8E"/>
    <w:rsid w:val="006320AE"/>
    <w:rsid w:val="008B207A"/>
    <w:rsid w:val="00A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976A0-2853-4222-8192-7CAF9738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0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>財團法人高等教育評鑑中心基金會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林佳宜</dc:creator>
  <cp:keywords/>
  <dc:description/>
  <cp:lastModifiedBy>林佳宜</cp:lastModifiedBy>
  <cp:revision>2</cp:revision>
  <dcterms:created xsi:type="dcterms:W3CDTF">2019-10-25T01:51:00Z</dcterms:created>
  <dcterms:modified xsi:type="dcterms:W3CDTF">2019-10-25T02:00:00Z</dcterms:modified>
</cp:coreProperties>
</file>